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shd w:val="clear" w:color="auto" w:fill="auto"/>
          </w:tcPr>
          <w:p>
            <w:pPr>
              <w:adjustRightInd w:val="0"/>
              <w:snapToGrid w:val="0"/>
              <w:spacing w:line="440" w:lineRule="exact"/>
              <w:rPr>
                <w:sz w:val="24"/>
              </w:rPr>
            </w:pPr>
            <w:r>
              <w:rPr>
                <w:rFonts w:hint="eastAsia"/>
                <w:sz w:val="24"/>
              </w:rPr>
              <w:t>证券代码：000881</w:t>
            </w:r>
          </w:p>
        </w:tc>
        <w:tc>
          <w:tcPr>
            <w:tcW w:w="1667" w:type="pct"/>
            <w:shd w:val="clear" w:color="auto" w:fill="auto"/>
          </w:tcPr>
          <w:p>
            <w:pPr>
              <w:adjustRightInd w:val="0"/>
              <w:snapToGrid w:val="0"/>
              <w:spacing w:line="440" w:lineRule="exact"/>
              <w:jc w:val="center"/>
              <w:rPr>
                <w:sz w:val="24"/>
              </w:rPr>
            </w:pPr>
            <w:r>
              <w:rPr>
                <w:rFonts w:hint="eastAsia"/>
                <w:sz w:val="24"/>
              </w:rPr>
              <w:t>证券简称：中广核技</w:t>
            </w:r>
          </w:p>
        </w:tc>
        <w:tc>
          <w:tcPr>
            <w:tcW w:w="1667" w:type="pct"/>
            <w:shd w:val="clear" w:color="auto" w:fill="auto"/>
          </w:tcPr>
          <w:p>
            <w:pPr>
              <w:adjustRightInd w:val="0"/>
              <w:snapToGrid w:val="0"/>
              <w:spacing w:line="440" w:lineRule="exact"/>
              <w:jc w:val="right"/>
              <w:rPr>
                <w:sz w:val="24"/>
              </w:rPr>
            </w:pPr>
            <w:r>
              <w:rPr>
                <w:rFonts w:hint="eastAsia"/>
                <w:sz w:val="24"/>
              </w:rPr>
              <w:t>公告编号：20</w:t>
            </w:r>
            <w:r>
              <w:rPr>
                <w:sz w:val="24"/>
              </w:rPr>
              <w:t>2</w:t>
            </w:r>
            <w:r>
              <w:rPr>
                <w:rFonts w:hint="eastAsia"/>
                <w:sz w:val="24"/>
              </w:rPr>
              <w:t>3-108</w:t>
            </w:r>
          </w:p>
        </w:tc>
      </w:tr>
    </w:tbl>
    <w:p>
      <w:pPr>
        <w:snapToGrid w:val="0"/>
        <w:spacing w:before="156" w:beforeLines="50"/>
        <w:jc w:val="center"/>
        <w:rPr>
          <w:b/>
          <w:sz w:val="36"/>
          <w:szCs w:val="36"/>
        </w:rPr>
      </w:pPr>
      <w:r>
        <w:rPr>
          <w:rFonts w:hint="eastAsia"/>
          <w:b/>
          <w:sz w:val="36"/>
          <w:szCs w:val="36"/>
        </w:rPr>
        <w:t>中广核核技术发展股份有限公司</w:t>
      </w:r>
    </w:p>
    <w:p>
      <w:pPr>
        <w:snapToGrid w:val="0"/>
        <w:jc w:val="center"/>
        <w:rPr>
          <w:b/>
          <w:sz w:val="36"/>
          <w:szCs w:val="36"/>
        </w:rPr>
      </w:pPr>
      <w:r>
        <w:rPr>
          <w:rFonts w:hint="eastAsia"/>
          <w:b/>
          <w:sz w:val="36"/>
          <w:szCs w:val="36"/>
        </w:rPr>
        <w:t>关于部分董事、监事辞职暨补选董事、监事的公告</w:t>
      </w:r>
    </w:p>
    <w:p>
      <w:pPr>
        <w:snapToGrid w:val="0"/>
        <w:spacing w:before="156" w:beforeLines="50" w:line="360" w:lineRule="auto"/>
        <w:ind w:firstLine="422" w:firstLineChars="200"/>
        <w:rPr>
          <w:b/>
          <w:szCs w:val="21"/>
        </w:rPr>
      </w:pPr>
      <w:r>
        <w:rPr>
          <w:rFonts w:hint="eastAsia"/>
          <w:b/>
          <w:szCs w:val="21"/>
        </w:rPr>
        <w:t>本公司及董事会全体成员保证信息披露的内容真实、准确、完整，没有虚假记载、误导性陈述或者重大遗漏。</w:t>
      </w:r>
    </w:p>
    <w:p>
      <w:pPr>
        <w:snapToGrid w:val="0"/>
        <w:spacing w:line="360" w:lineRule="auto"/>
        <w:ind w:firstLine="482" w:firstLineChars="200"/>
        <w:rPr>
          <w:b/>
          <w:sz w:val="24"/>
          <w:szCs w:val="24"/>
        </w:rPr>
      </w:pPr>
      <w:r>
        <w:rPr>
          <w:rFonts w:hint="eastAsia"/>
          <w:b/>
          <w:sz w:val="24"/>
          <w:szCs w:val="24"/>
        </w:rPr>
        <w:t>一、关于部分董事、监事辞职情况</w:t>
      </w:r>
    </w:p>
    <w:p>
      <w:pPr>
        <w:snapToGrid w:val="0"/>
        <w:spacing w:line="360" w:lineRule="auto"/>
        <w:ind w:firstLine="480" w:firstLineChars="200"/>
        <w:rPr>
          <w:sz w:val="24"/>
          <w:szCs w:val="24"/>
        </w:rPr>
      </w:pPr>
      <w:r>
        <w:rPr>
          <w:rFonts w:hint="eastAsia"/>
          <w:sz w:val="24"/>
          <w:szCs w:val="24"/>
        </w:rPr>
        <w:t>（一）董事辞职情况</w:t>
      </w:r>
    </w:p>
    <w:p>
      <w:pPr>
        <w:snapToGrid w:val="0"/>
        <w:spacing w:line="360" w:lineRule="auto"/>
        <w:ind w:firstLine="480" w:firstLineChars="200"/>
        <w:rPr>
          <w:sz w:val="24"/>
          <w:szCs w:val="24"/>
        </w:rPr>
      </w:pPr>
      <w:r>
        <w:rPr>
          <w:rFonts w:hint="eastAsia"/>
          <w:sz w:val="24"/>
          <w:szCs w:val="24"/>
        </w:rPr>
        <w:t>中广核核技术发展股份有限公司（以下简称“公司”）董事会于近日收到董事吴明日、阎志刚先生的书面辞职报告，其因工作调整，申请辞去公司董事职务，辞职后不再担任公司董事职务，仍在公司担任其它职务。吴明日、阎志刚先生的辞职未导致公司董事会成员低于法定最低人数，不会影响公司董事会正常运作，根据《中华人民共和国公司法》和《公司章程》的有关规定，吴明日、阎志刚先生的辞职自辞职报告送达公司董事会之日起生效。截至本公告披露日，吴明日、阎志刚先生未持有公司股份，吴明日先生持有公司《2022年股票期权激励计划》授予的28万份股票期权（激励对象发生职务变更，但未与公司解除或终止劳动关系的，其获授的股票期权完全按照职务变更前激励计划规定的程序进行）。</w:t>
      </w:r>
    </w:p>
    <w:p>
      <w:pPr>
        <w:snapToGrid w:val="0"/>
        <w:spacing w:line="360" w:lineRule="auto"/>
        <w:ind w:firstLine="480" w:firstLineChars="200"/>
        <w:rPr>
          <w:sz w:val="24"/>
          <w:szCs w:val="24"/>
        </w:rPr>
      </w:pPr>
      <w:r>
        <w:rPr>
          <w:rFonts w:hint="eastAsia"/>
          <w:sz w:val="24"/>
          <w:szCs w:val="24"/>
        </w:rPr>
        <w:t>（二）监事辞职情况</w:t>
      </w:r>
    </w:p>
    <w:p>
      <w:pPr>
        <w:snapToGrid w:val="0"/>
        <w:spacing w:line="360" w:lineRule="auto"/>
        <w:ind w:firstLine="480" w:firstLineChars="200"/>
        <w:rPr>
          <w:sz w:val="24"/>
          <w:szCs w:val="24"/>
        </w:rPr>
      </w:pPr>
      <w:r>
        <w:rPr>
          <w:rFonts w:hint="eastAsia"/>
          <w:sz w:val="24"/>
          <w:szCs w:val="24"/>
        </w:rPr>
        <w:t>公司监事会近日收到监事王军先生的书面辞职报告。王军先生因工作调整，申请辞去公司监事职务，仍在公司担任其它职务。</w:t>
      </w:r>
    </w:p>
    <w:p>
      <w:pPr>
        <w:snapToGrid w:val="0"/>
        <w:spacing w:line="360" w:lineRule="auto"/>
        <w:ind w:firstLine="480" w:firstLineChars="200"/>
        <w:rPr>
          <w:sz w:val="24"/>
          <w:szCs w:val="24"/>
        </w:rPr>
      </w:pPr>
      <w:r>
        <w:rPr>
          <w:rFonts w:hint="eastAsia"/>
          <w:sz w:val="24"/>
          <w:szCs w:val="24"/>
        </w:rPr>
        <w:t>根据《中华人民共和国公司法》和《公司章程》的有关规定，监事王军先生的辞职将导致公司监事会成员低于法定最低人数，其辞职申请将在公司股东大会选举产生新任监事后生效。在补选的监事就任前，王军先生将继续履行监事职责。截至本公告披露日，王军先生未持有公司股份。</w:t>
      </w:r>
    </w:p>
    <w:p>
      <w:pPr>
        <w:snapToGrid w:val="0"/>
        <w:spacing w:line="360" w:lineRule="auto"/>
        <w:ind w:firstLine="480" w:firstLineChars="200"/>
        <w:rPr>
          <w:sz w:val="24"/>
          <w:szCs w:val="24"/>
        </w:rPr>
      </w:pPr>
      <w:r>
        <w:rPr>
          <w:rFonts w:hint="eastAsia"/>
          <w:sz w:val="24"/>
          <w:szCs w:val="24"/>
        </w:rPr>
        <w:t>吴明日、阎志刚、王军先生在担任公司董事、监事期间，恪尽职守、勤勉尽职，公司董事会、监事会对其在任职期间为公司发展所作的贡献表示衷心的感谢。</w:t>
      </w:r>
    </w:p>
    <w:p>
      <w:pPr>
        <w:snapToGrid w:val="0"/>
        <w:spacing w:line="360" w:lineRule="auto"/>
        <w:ind w:firstLine="482" w:firstLineChars="200"/>
        <w:rPr>
          <w:b/>
          <w:sz w:val="24"/>
          <w:szCs w:val="24"/>
        </w:rPr>
      </w:pPr>
      <w:r>
        <w:rPr>
          <w:rFonts w:hint="eastAsia"/>
          <w:b/>
          <w:sz w:val="24"/>
          <w:szCs w:val="24"/>
        </w:rPr>
        <w:t>二、补选董事、监事情况</w:t>
      </w:r>
    </w:p>
    <w:p>
      <w:pPr>
        <w:snapToGrid w:val="0"/>
        <w:spacing w:line="360" w:lineRule="auto"/>
        <w:ind w:firstLine="480" w:firstLineChars="200"/>
        <w:rPr>
          <w:sz w:val="24"/>
          <w:szCs w:val="24"/>
        </w:rPr>
      </w:pPr>
      <w:r>
        <w:rPr>
          <w:rFonts w:hint="eastAsia"/>
          <w:sz w:val="24"/>
          <w:szCs w:val="24"/>
        </w:rPr>
        <w:t>（一）董事补选情况</w:t>
      </w:r>
    </w:p>
    <w:p>
      <w:pPr>
        <w:snapToGrid w:val="0"/>
        <w:spacing w:line="360" w:lineRule="auto"/>
        <w:ind w:firstLine="480" w:firstLineChars="200"/>
        <w:rPr>
          <w:sz w:val="24"/>
          <w:szCs w:val="24"/>
        </w:rPr>
      </w:pPr>
      <w:r>
        <w:rPr>
          <w:rFonts w:hint="eastAsia"/>
          <w:sz w:val="24"/>
          <w:szCs w:val="24"/>
        </w:rPr>
        <w:t>公司于2023年12月26日召开的第十届董事会第十二次会议审议通过了《关于补选第十届董事会非独立董事的议案》。经股东中国大连国际经济技术合作集团有限公司推荐，公司董事会提名委员会资格审查通过，董事会同意提名慕长坤、吴远明先生为公司第十届董事会非独立董事候选人，任期自本议案获得公司股东大会审议通过之日起至公司第十届董事会任期届满。本事项尚需提交公司股东大会审议。</w:t>
      </w:r>
    </w:p>
    <w:p>
      <w:pPr>
        <w:snapToGrid w:val="0"/>
        <w:spacing w:line="360" w:lineRule="auto"/>
        <w:ind w:firstLine="480" w:firstLineChars="200"/>
        <w:rPr>
          <w:sz w:val="24"/>
          <w:szCs w:val="24"/>
        </w:rPr>
      </w:pPr>
      <w:r>
        <w:rPr>
          <w:rFonts w:hint="eastAsia"/>
          <w:sz w:val="24"/>
          <w:szCs w:val="24"/>
        </w:rPr>
        <w:t>补选后，董事会中兼任公司高级管理人员的董事人数不超过公司董事总数的二分之一。</w:t>
      </w:r>
    </w:p>
    <w:p>
      <w:pPr>
        <w:snapToGrid w:val="0"/>
        <w:spacing w:line="360" w:lineRule="auto"/>
        <w:ind w:firstLine="480" w:firstLineChars="200"/>
        <w:rPr>
          <w:sz w:val="24"/>
          <w:szCs w:val="24"/>
        </w:rPr>
      </w:pPr>
      <w:r>
        <w:rPr>
          <w:rFonts w:hint="eastAsia"/>
          <w:sz w:val="24"/>
          <w:szCs w:val="24"/>
        </w:rPr>
        <w:t>慕长坤先生，男，1972年11月出生，中共党员，管理学学士学位。曾任大连环宇会计师事务所审计经理、大连科华税务师事务所审计经理、中国远洋集团大连公司科长、深圳华南城集团区域财务总监、浙江乐城实业集团副总裁、大连星海湾基金管理中心财务总监，2022年10月至2023年7月担任中国大连国际经济技术合作集团有限公司总会计师，2023年7月至今担任中国大连国际经济技术合作集团有限公司董事、副总裁。</w:t>
      </w:r>
    </w:p>
    <w:p>
      <w:pPr>
        <w:snapToGrid w:val="0"/>
        <w:spacing w:line="360" w:lineRule="auto"/>
        <w:ind w:firstLine="480" w:firstLineChars="200"/>
        <w:rPr>
          <w:sz w:val="24"/>
          <w:szCs w:val="24"/>
        </w:rPr>
      </w:pPr>
      <w:r>
        <w:rPr>
          <w:rFonts w:hint="eastAsia"/>
          <w:sz w:val="24"/>
          <w:szCs w:val="24"/>
        </w:rPr>
        <w:t>慕长坤先生不存在《公司法》规定不得提名为董事的情形；未受过中国证监会及其他有关部门的处罚和证券交易所纪律处分，不存在因涉嫌犯罪被司法机关立案侦查或者涉嫌违法违规被中国证监会立案稽查尚未有明确结论的情形；除在持有公司5%以上股份的股东中国大连国际经济技术合作集团有限公司</w:t>
      </w:r>
      <w:r>
        <w:rPr>
          <w:rFonts w:hint="eastAsia"/>
          <w:sz w:val="24"/>
          <w:szCs w:val="24"/>
          <w:lang w:val="en-US" w:eastAsia="zh-CN"/>
        </w:rPr>
        <w:t>任职</w:t>
      </w:r>
      <w:r>
        <w:rPr>
          <w:rFonts w:hint="eastAsia"/>
          <w:sz w:val="24"/>
          <w:szCs w:val="24"/>
        </w:rPr>
        <w:t>外，与持有公司5%以上股份的股东、实际控制人、公司其他董事、监事和高级管理人员不存在其他关联关系；未持有公司股份；未曾被中国证监会在证券期货市场失信记录查询平台公示，不是失信被执行人；符合有关法律、行政法规、部门规章、规范性文件所要求的任职资格。</w:t>
      </w:r>
    </w:p>
    <w:p>
      <w:pPr>
        <w:snapToGrid w:val="0"/>
        <w:spacing w:line="360" w:lineRule="auto"/>
        <w:ind w:firstLine="480" w:firstLineChars="200"/>
        <w:rPr>
          <w:sz w:val="24"/>
          <w:szCs w:val="24"/>
        </w:rPr>
      </w:pPr>
      <w:r>
        <w:rPr>
          <w:rFonts w:hint="eastAsia"/>
          <w:sz w:val="24"/>
          <w:szCs w:val="24"/>
        </w:rPr>
        <w:t>吴远明先生，男，1970年4月出生，中共党员，硕士研究生。1997年加入中国大连国际合作（集团）股份有限公司，先后在中国大连国际合作（集团）股份有限公司审计部、企管部、工程管理部、中国大连国际经济技术合作集团有限公司建设分公司任职。2017年6月至今担任中国大连国际经济技术合作集团有限公司建设分公司总经理、大连国合建筑装饰工程有限公司董事长，2017年8月至今担任中国大连国际经济技术合作集团有限公司北京分公司总经理，2022年10月至今担任中国大连国际经济技术合作集团有限公司监事会主席，2023年8月至今担任中国大连国际经济技术合作集团有限公司纪委书记。</w:t>
      </w:r>
    </w:p>
    <w:p>
      <w:pPr>
        <w:snapToGrid w:val="0"/>
        <w:spacing w:line="360" w:lineRule="auto"/>
        <w:ind w:firstLine="480" w:firstLineChars="200"/>
        <w:rPr>
          <w:sz w:val="24"/>
          <w:szCs w:val="24"/>
        </w:rPr>
      </w:pPr>
      <w:r>
        <w:rPr>
          <w:rFonts w:hint="eastAsia"/>
          <w:sz w:val="24"/>
          <w:szCs w:val="24"/>
        </w:rPr>
        <w:t>吴远明先生不存在《公司法》规定不得提名为董事的情形；未受过中国证监会及其他有关部门的处罚和证券交易所纪律处分，不存在因涉嫌犯罪被司法机关立案侦查或者涉嫌违法违规被中国证监会立案稽查尚未有明确结论的情形；除在持有公司5%以上股份的股东中国大连国际经济技术合作集团有限公司及其分子公司任职外，与持有公司5%以上股份的股东、实际控制人、公司其他董事、监事和高级管理人员不存在其他关联关系；未持有公司股份；未曾被中国证监会在证券期货市场失信记录查询平台公示，不是失信被执行人；符合有关法律、行政法规、部门规章、规范性文件所要求的任职资格。</w:t>
      </w:r>
    </w:p>
    <w:p>
      <w:pPr>
        <w:snapToGrid w:val="0"/>
        <w:spacing w:line="360" w:lineRule="auto"/>
        <w:ind w:firstLine="480" w:firstLineChars="200"/>
        <w:rPr>
          <w:sz w:val="24"/>
          <w:szCs w:val="24"/>
        </w:rPr>
      </w:pPr>
      <w:r>
        <w:rPr>
          <w:rFonts w:hint="eastAsia"/>
          <w:sz w:val="24"/>
          <w:szCs w:val="24"/>
        </w:rPr>
        <w:t>（二）监事补选情况</w:t>
      </w:r>
    </w:p>
    <w:p>
      <w:pPr>
        <w:snapToGrid w:val="0"/>
        <w:spacing w:line="360" w:lineRule="auto"/>
        <w:ind w:firstLine="480" w:firstLineChars="200"/>
        <w:rPr>
          <w:sz w:val="24"/>
          <w:szCs w:val="24"/>
        </w:rPr>
      </w:pPr>
      <w:r>
        <w:rPr>
          <w:rFonts w:hint="eastAsia"/>
          <w:sz w:val="24"/>
          <w:szCs w:val="24"/>
        </w:rPr>
        <w:t>公司于2023年12月26日召开的第十届监事会第六次会议审议通过了《关于补选第十届监事会非职工代表监事的议案》。经股东中国大连国际经济技术合作集团有限公司推荐，公司监事会同意提名郑广平先生为公司第十届监事会非职工监事候选人，任期自本议案获得公司股东大会审议通过之日起至公司第十届监事会任期届满。本事项尚需提交公司股东大会审议。</w:t>
      </w:r>
    </w:p>
    <w:p>
      <w:pPr>
        <w:snapToGrid w:val="0"/>
        <w:spacing w:line="360" w:lineRule="auto"/>
        <w:ind w:firstLine="480" w:firstLineChars="200"/>
        <w:rPr>
          <w:sz w:val="24"/>
          <w:szCs w:val="24"/>
        </w:rPr>
      </w:pPr>
      <w:r>
        <w:rPr>
          <w:rFonts w:hint="eastAsia"/>
          <w:sz w:val="24"/>
          <w:szCs w:val="24"/>
        </w:rPr>
        <w:t>补选完成后，公司监事会中职工代表监事的比例未低于三分之一。</w:t>
      </w:r>
    </w:p>
    <w:p>
      <w:pPr>
        <w:snapToGrid w:val="0"/>
        <w:spacing w:line="360" w:lineRule="auto"/>
        <w:ind w:firstLine="480" w:firstLineChars="200"/>
        <w:rPr>
          <w:sz w:val="24"/>
          <w:szCs w:val="24"/>
        </w:rPr>
      </w:pPr>
      <w:r>
        <w:rPr>
          <w:rFonts w:hint="eastAsia"/>
          <w:sz w:val="24"/>
          <w:szCs w:val="24"/>
        </w:rPr>
        <w:t>郑广平先生，男，</w:t>
      </w:r>
      <w:r>
        <w:rPr>
          <w:sz w:val="24"/>
          <w:szCs w:val="24"/>
        </w:rPr>
        <w:t>1969</w:t>
      </w:r>
      <w:r>
        <w:rPr>
          <w:rFonts w:hint="eastAsia"/>
          <w:sz w:val="24"/>
          <w:szCs w:val="24"/>
        </w:rPr>
        <w:t>年</w:t>
      </w:r>
      <w:r>
        <w:rPr>
          <w:sz w:val="24"/>
          <w:szCs w:val="24"/>
        </w:rPr>
        <w:t>2</w:t>
      </w:r>
      <w:r>
        <w:rPr>
          <w:rFonts w:hint="eastAsia"/>
          <w:sz w:val="24"/>
          <w:szCs w:val="24"/>
        </w:rPr>
        <w:t>月出生，中共党员，大学本科，毕业于东北财经大学国际会计专业。1992年加入中国大连国际合作（集团）股份有限公司，先后在计划财务部、国际劳务分公司、加蓬中加渔业公司、中加贸易促进中心任职。2002年12月至</w:t>
      </w:r>
      <w:r>
        <w:rPr>
          <w:sz w:val="24"/>
          <w:szCs w:val="24"/>
        </w:rPr>
        <w:t>2017</w:t>
      </w:r>
      <w:r>
        <w:rPr>
          <w:rFonts w:hint="eastAsia"/>
          <w:sz w:val="24"/>
          <w:szCs w:val="24"/>
        </w:rPr>
        <w:t>年1月历任中国大连国际合作（集团）股份有限公司计划财务部副经理、经理，2017年2月至2020年5月担任中广核技大连国际事业部计划财务部经理，2020年5月至2023年7月担任中国大连国际经济技术合作集团有限公司计划财务部经理，2023年7月至今担任中国大连国际经济技术合作集团有限公司总会计师。</w:t>
      </w:r>
    </w:p>
    <w:p>
      <w:pPr>
        <w:snapToGrid w:val="0"/>
        <w:spacing w:line="360" w:lineRule="auto"/>
        <w:ind w:firstLine="480" w:firstLineChars="200"/>
        <w:rPr>
          <w:sz w:val="24"/>
          <w:szCs w:val="24"/>
        </w:rPr>
      </w:pPr>
      <w:r>
        <w:rPr>
          <w:rFonts w:hint="eastAsia"/>
          <w:sz w:val="24"/>
          <w:szCs w:val="24"/>
        </w:rPr>
        <w:t>郑广平先生不存在《公司法》规定不得提名为监事的情形；未受过中国证监会及其他有关部门的处罚和证券交易所纪律处分，不存在因涉嫌犯罪被司法机关立案侦查或者涉嫌违法违规被中国证监会立案稽查尚未有明确结论的情形；除在持有公司5%以上股份的股东中国大连国际经济技术合作开发集团有限公司任职外，与持有公司5%以上股份的股东、实际控制人、公司其他董事、监事和高级管理人员不存在其他关联关系；未持有公司股份；未曾被中国证监会在证券期货市场失信记录查询平台公示，不是失信被执行人；符合有关法律、行政法规、部门规章、规范性文件所要求的任职资格。</w:t>
      </w:r>
    </w:p>
    <w:p>
      <w:pPr>
        <w:snapToGrid w:val="0"/>
        <w:spacing w:line="360" w:lineRule="auto"/>
        <w:ind w:firstLine="480" w:firstLineChars="200"/>
        <w:rPr>
          <w:sz w:val="24"/>
          <w:szCs w:val="24"/>
        </w:rPr>
      </w:pPr>
      <w:r>
        <w:rPr>
          <w:rFonts w:hint="eastAsia"/>
          <w:sz w:val="24"/>
          <w:szCs w:val="24"/>
        </w:rPr>
        <w:t>特此公告。</w:t>
      </w:r>
    </w:p>
    <w:p>
      <w:pPr>
        <w:snapToGrid w:val="0"/>
        <w:spacing w:line="360" w:lineRule="auto"/>
        <w:ind w:firstLine="480" w:firstLineChars="200"/>
        <w:rPr>
          <w:sz w:val="24"/>
          <w:szCs w:val="24"/>
        </w:rPr>
      </w:pPr>
    </w:p>
    <w:p>
      <w:pPr>
        <w:snapToGrid w:val="0"/>
        <w:spacing w:line="360" w:lineRule="auto"/>
        <w:ind w:firstLine="480" w:firstLineChars="200"/>
        <w:rPr>
          <w:sz w:val="24"/>
          <w:szCs w:val="24"/>
        </w:rPr>
      </w:pPr>
    </w:p>
    <w:p>
      <w:pPr>
        <w:snapToGrid w:val="0"/>
        <w:spacing w:line="360" w:lineRule="auto"/>
        <w:ind w:firstLine="480" w:firstLineChars="200"/>
        <w:rPr>
          <w:sz w:val="24"/>
          <w:szCs w:val="24"/>
        </w:rPr>
      </w:pPr>
    </w:p>
    <w:p>
      <w:pPr>
        <w:autoSpaceDE w:val="0"/>
        <w:autoSpaceDN w:val="0"/>
        <w:adjustRightInd w:val="0"/>
        <w:spacing w:line="440" w:lineRule="exact"/>
        <w:ind w:firstLine="482" w:firstLineChars="200"/>
        <w:jc w:val="right"/>
        <w:rPr>
          <w:rFonts w:cs="宋体"/>
          <w:b/>
          <w:color w:val="000000"/>
          <w:kern w:val="0"/>
          <w:sz w:val="24"/>
          <w:szCs w:val="24"/>
        </w:rPr>
      </w:pPr>
      <w:r>
        <w:rPr>
          <w:rFonts w:hint="eastAsia" w:cs="宋体"/>
          <w:b/>
          <w:color w:val="000000"/>
          <w:kern w:val="0"/>
          <w:sz w:val="24"/>
          <w:szCs w:val="24"/>
        </w:rPr>
        <w:t>中广核核技术发展股份有限公司</w:t>
      </w:r>
    </w:p>
    <w:p>
      <w:pPr>
        <w:autoSpaceDE w:val="0"/>
        <w:autoSpaceDN w:val="0"/>
        <w:adjustRightInd w:val="0"/>
        <w:spacing w:line="440" w:lineRule="exact"/>
        <w:ind w:firstLine="482" w:firstLineChars="200"/>
        <w:jc w:val="right"/>
        <w:rPr>
          <w:rFonts w:cs="宋体"/>
          <w:b/>
          <w:color w:val="000000"/>
          <w:kern w:val="0"/>
          <w:sz w:val="24"/>
          <w:szCs w:val="24"/>
        </w:rPr>
      </w:pPr>
      <w:r>
        <w:rPr>
          <w:rFonts w:hint="eastAsia" w:cs="宋体"/>
          <w:b/>
          <w:color w:val="000000"/>
          <w:kern w:val="0"/>
          <w:sz w:val="24"/>
          <w:szCs w:val="24"/>
        </w:rPr>
        <w:t>董事会</w:t>
      </w:r>
    </w:p>
    <w:p>
      <w:pPr>
        <w:autoSpaceDE w:val="0"/>
        <w:autoSpaceDN w:val="0"/>
        <w:adjustRightInd w:val="0"/>
        <w:spacing w:line="440" w:lineRule="exact"/>
        <w:ind w:firstLine="482" w:firstLineChars="200"/>
        <w:jc w:val="right"/>
      </w:pPr>
      <w:r>
        <w:rPr>
          <w:rFonts w:cs="宋体"/>
          <w:b/>
          <w:color w:val="000000"/>
          <w:kern w:val="0"/>
          <w:sz w:val="24"/>
          <w:szCs w:val="24"/>
        </w:rPr>
        <w:t>202</w:t>
      </w:r>
      <w:r>
        <w:rPr>
          <w:rFonts w:hint="eastAsia" w:cs="宋体"/>
          <w:b/>
          <w:color w:val="000000"/>
          <w:kern w:val="0"/>
          <w:sz w:val="24"/>
          <w:szCs w:val="24"/>
        </w:rPr>
        <w:t>3年12月2</w:t>
      </w:r>
      <w:r>
        <w:rPr>
          <w:rFonts w:hint="eastAsia" w:cs="宋体"/>
          <w:b/>
          <w:color w:val="000000"/>
          <w:kern w:val="0"/>
          <w:sz w:val="24"/>
          <w:szCs w:val="24"/>
          <w:lang w:val="en-US" w:eastAsia="zh-CN"/>
        </w:rPr>
        <w:t>8</w:t>
      </w:r>
      <w:bookmarkStart w:id="0" w:name="_GoBack"/>
      <w:bookmarkEnd w:id="0"/>
      <w:r>
        <w:rPr>
          <w:rFonts w:hint="eastAsia" w:cs="宋体"/>
          <w:b/>
          <w:color w:val="000000"/>
          <w:kern w:val="0"/>
          <w:sz w:val="24"/>
          <w:szCs w:val="24"/>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CD2"/>
    <w:rsid w:val="00005DFC"/>
    <w:rsid w:val="00011215"/>
    <w:rsid w:val="000315EE"/>
    <w:rsid w:val="00040877"/>
    <w:rsid w:val="000622CD"/>
    <w:rsid w:val="0008410D"/>
    <w:rsid w:val="000961E8"/>
    <w:rsid w:val="000B365B"/>
    <w:rsid w:val="000B4D2B"/>
    <w:rsid w:val="000C2F40"/>
    <w:rsid w:val="000F6348"/>
    <w:rsid w:val="00101EB0"/>
    <w:rsid w:val="0011199D"/>
    <w:rsid w:val="00123ADF"/>
    <w:rsid w:val="001274E7"/>
    <w:rsid w:val="00142138"/>
    <w:rsid w:val="0016433D"/>
    <w:rsid w:val="00176224"/>
    <w:rsid w:val="00182413"/>
    <w:rsid w:val="001900BA"/>
    <w:rsid w:val="00196ABE"/>
    <w:rsid w:val="001A58EB"/>
    <w:rsid w:val="001B6A2E"/>
    <w:rsid w:val="001C7AD3"/>
    <w:rsid w:val="001D24AC"/>
    <w:rsid w:val="001E53E2"/>
    <w:rsid w:val="001F4696"/>
    <w:rsid w:val="002077C4"/>
    <w:rsid w:val="00214BB2"/>
    <w:rsid w:val="002379FC"/>
    <w:rsid w:val="00246784"/>
    <w:rsid w:val="002578EF"/>
    <w:rsid w:val="00263159"/>
    <w:rsid w:val="00265120"/>
    <w:rsid w:val="00267274"/>
    <w:rsid w:val="00267DEA"/>
    <w:rsid w:val="00275035"/>
    <w:rsid w:val="0027687E"/>
    <w:rsid w:val="002832F9"/>
    <w:rsid w:val="00285691"/>
    <w:rsid w:val="002913CE"/>
    <w:rsid w:val="002979C9"/>
    <w:rsid w:val="002B345E"/>
    <w:rsid w:val="002C78C7"/>
    <w:rsid w:val="002E0F0B"/>
    <w:rsid w:val="002E128D"/>
    <w:rsid w:val="002F0457"/>
    <w:rsid w:val="002F522B"/>
    <w:rsid w:val="003032FB"/>
    <w:rsid w:val="00304B8F"/>
    <w:rsid w:val="0030556F"/>
    <w:rsid w:val="003122D1"/>
    <w:rsid w:val="003178AC"/>
    <w:rsid w:val="00320AC1"/>
    <w:rsid w:val="00324A36"/>
    <w:rsid w:val="003277BE"/>
    <w:rsid w:val="003436FF"/>
    <w:rsid w:val="003623B1"/>
    <w:rsid w:val="003738F8"/>
    <w:rsid w:val="00375D9D"/>
    <w:rsid w:val="00380BDD"/>
    <w:rsid w:val="003C333E"/>
    <w:rsid w:val="003D20EF"/>
    <w:rsid w:val="003F0AFF"/>
    <w:rsid w:val="003F12BE"/>
    <w:rsid w:val="003F47BD"/>
    <w:rsid w:val="004041E7"/>
    <w:rsid w:val="0040592B"/>
    <w:rsid w:val="00445F4F"/>
    <w:rsid w:val="004543EC"/>
    <w:rsid w:val="004560B4"/>
    <w:rsid w:val="00461D6F"/>
    <w:rsid w:val="004640BF"/>
    <w:rsid w:val="00471ABC"/>
    <w:rsid w:val="00476FC0"/>
    <w:rsid w:val="004B50F8"/>
    <w:rsid w:val="004C23CC"/>
    <w:rsid w:val="004F4598"/>
    <w:rsid w:val="004F518C"/>
    <w:rsid w:val="0052306E"/>
    <w:rsid w:val="00537B3B"/>
    <w:rsid w:val="0058078F"/>
    <w:rsid w:val="005809F6"/>
    <w:rsid w:val="005D2DA8"/>
    <w:rsid w:val="005D51C1"/>
    <w:rsid w:val="005D795B"/>
    <w:rsid w:val="005E4EBD"/>
    <w:rsid w:val="005F2C46"/>
    <w:rsid w:val="00610048"/>
    <w:rsid w:val="00644913"/>
    <w:rsid w:val="00650519"/>
    <w:rsid w:val="00665F33"/>
    <w:rsid w:val="00670AFF"/>
    <w:rsid w:val="00675466"/>
    <w:rsid w:val="00683E3B"/>
    <w:rsid w:val="006A087B"/>
    <w:rsid w:val="006A0D5E"/>
    <w:rsid w:val="006B293B"/>
    <w:rsid w:val="006B53C0"/>
    <w:rsid w:val="006C2919"/>
    <w:rsid w:val="006F3C75"/>
    <w:rsid w:val="006F6B1F"/>
    <w:rsid w:val="00702860"/>
    <w:rsid w:val="00703558"/>
    <w:rsid w:val="00703CD4"/>
    <w:rsid w:val="007423A8"/>
    <w:rsid w:val="007428CE"/>
    <w:rsid w:val="00746AF1"/>
    <w:rsid w:val="00756049"/>
    <w:rsid w:val="0077710C"/>
    <w:rsid w:val="007A0978"/>
    <w:rsid w:val="007A2A58"/>
    <w:rsid w:val="007A7DBF"/>
    <w:rsid w:val="007C40DB"/>
    <w:rsid w:val="007C6AE8"/>
    <w:rsid w:val="007D689F"/>
    <w:rsid w:val="007D73E6"/>
    <w:rsid w:val="007E2A3C"/>
    <w:rsid w:val="007E64CA"/>
    <w:rsid w:val="007E7935"/>
    <w:rsid w:val="007F07C4"/>
    <w:rsid w:val="007F713A"/>
    <w:rsid w:val="00803740"/>
    <w:rsid w:val="00812BAA"/>
    <w:rsid w:val="00821C70"/>
    <w:rsid w:val="0084382E"/>
    <w:rsid w:val="00852959"/>
    <w:rsid w:val="00860D32"/>
    <w:rsid w:val="0086481E"/>
    <w:rsid w:val="00864C82"/>
    <w:rsid w:val="00874DE2"/>
    <w:rsid w:val="00880EB0"/>
    <w:rsid w:val="00884AF6"/>
    <w:rsid w:val="00895E96"/>
    <w:rsid w:val="008A64A0"/>
    <w:rsid w:val="008A7BBF"/>
    <w:rsid w:val="008B0716"/>
    <w:rsid w:val="008B7601"/>
    <w:rsid w:val="008C2D05"/>
    <w:rsid w:val="008E3194"/>
    <w:rsid w:val="009026D8"/>
    <w:rsid w:val="00914431"/>
    <w:rsid w:val="00922D32"/>
    <w:rsid w:val="00926A9E"/>
    <w:rsid w:val="00930EDC"/>
    <w:rsid w:val="009419AC"/>
    <w:rsid w:val="00946F51"/>
    <w:rsid w:val="0096445E"/>
    <w:rsid w:val="00970AF1"/>
    <w:rsid w:val="009C43CA"/>
    <w:rsid w:val="009D7946"/>
    <w:rsid w:val="009E4A44"/>
    <w:rsid w:val="009E719F"/>
    <w:rsid w:val="009F4AB1"/>
    <w:rsid w:val="00A05150"/>
    <w:rsid w:val="00A16890"/>
    <w:rsid w:val="00A16CD2"/>
    <w:rsid w:val="00A74877"/>
    <w:rsid w:val="00A8050E"/>
    <w:rsid w:val="00A80D1C"/>
    <w:rsid w:val="00A81996"/>
    <w:rsid w:val="00A971B9"/>
    <w:rsid w:val="00AA0463"/>
    <w:rsid w:val="00AC1A19"/>
    <w:rsid w:val="00AC4943"/>
    <w:rsid w:val="00AE124E"/>
    <w:rsid w:val="00AF3DA6"/>
    <w:rsid w:val="00B06C0A"/>
    <w:rsid w:val="00B1347C"/>
    <w:rsid w:val="00B14AD4"/>
    <w:rsid w:val="00B247E2"/>
    <w:rsid w:val="00B35B0C"/>
    <w:rsid w:val="00B40425"/>
    <w:rsid w:val="00B4337E"/>
    <w:rsid w:val="00B50F02"/>
    <w:rsid w:val="00B72628"/>
    <w:rsid w:val="00B72C39"/>
    <w:rsid w:val="00B839DD"/>
    <w:rsid w:val="00B93A2A"/>
    <w:rsid w:val="00B978AD"/>
    <w:rsid w:val="00BA03B0"/>
    <w:rsid w:val="00BB4CE2"/>
    <w:rsid w:val="00BB585F"/>
    <w:rsid w:val="00BC1414"/>
    <w:rsid w:val="00BC6DCD"/>
    <w:rsid w:val="00BD1F94"/>
    <w:rsid w:val="00BE7EB9"/>
    <w:rsid w:val="00C018DC"/>
    <w:rsid w:val="00C01F67"/>
    <w:rsid w:val="00C22A7E"/>
    <w:rsid w:val="00C71759"/>
    <w:rsid w:val="00C93EAF"/>
    <w:rsid w:val="00CA3191"/>
    <w:rsid w:val="00CA51B0"/>
    <w:rsid w:val="00CC6500"/>
    <w:rsid w:val="00CE59C5"/>
    <w:rsid w:val="00CF3D64"/>
    <w:rsid w:val="00CF437F"/>
    <w:rsid w:val="00D24FB7"/>
    <w:rsid w:val="00D30898"/>
    <w:rsid w:val="00D34321"/>
    <w:rsid w:val="00D35120"/>
    <w:rsid w:val="00D5179D"/>
    <w:rsid w:val="00D756D1"/>
    <w:rsid w:val="00D824FF"/>
    <w:rsid w:val="00D82F46"/>
    <w:rsid w:val="00D9686B"/>
    <w:rsid w:val="00DA28FC"/>
    <w:rsid w:val="00DA6F10"/>
    <w:rsid w:val="00DC36B8"/>
    <w:rsid w:val="00DE0841"/>
    <w:rsid w:val="00DE24F5"/>
    <w:rsid w:val="00DE3F38"/>
    <w:rsid w:val="00DE6FA4"/>
    <w:rsid w:val="00E100F3"/>
    <w:rsid w:val="00E2244C"/>
    <w:rsid w:val="00E2323A"/>
    <w:rsid w:val="00E30014"/>
    <w:rsid w:val="00E300A1"/>
    <w:rsid w:val="00E310E5"/>
    <w:rsid w:val="00E42B80"/>
    <w:rsid w:val="00E44FA5"/>
    <w:rsid w:val="00E463D9"/>
    <w:rsid w:val="00E60B30"/>
    <w:rsid w:val="00E64A89"/>
    <w:rsid w:val="00E72D2C"/>
    <w:rsid w:val="00E82B6C"/>
    <w:rsid w:val="00EA30FF"/>
    <w:rsid w:val="00EC37DF"/>
    <w:rsid w:val="00EF223A"/>
    <w:rsid w:val="00F03B32"/>
    <w:rsid w:val="00F061D6"/>
    <w:rsid w:val="00F33D57"/>
    <w:rsid w:val="00F3780A"/>
    <w:rsid w:val="00F37B17"/>
    <w:rsid w:val="00F407A0"/>
    <w:rsid w:val="00F420C8"/>
    <w:rsid w:val="00F61BD0"/>
    <w:rsid w:val="00FA7AA7"/>
    <w:rsid w:val="00FD1129"/>
    <w:rsid w:val="00FD392F"/>
    <w:rsid w:val="04302DD3"/>
    <w:rsid w:val="05DC50F1"/>
    <w:rsid w:val="06711F82"/>
    <w:rsid w:val="0B0D4C99"/>
    <w:rsid w:val="0D364901"/>
    <w:rsid w:val="0D4D2FAE"/>
    <w:rsid w:val="0D8D4A5D"/>
    <w:rsid w:val="0FC45005"/>
    <w:rsid w:val="1A1E465D"/>
    <w:rsid w:val="1FFB292B"/>
    <w:rsid w:val="29AA6487"/>
    <w:rsid w:val="3DAC7413"/>
    <w:rsid w:val="414930BA"/>
    <w:rsid w:val="43E44BC1"/>
    <w:rsid w:val="504106EB"/>
    <w:rsid w:val="5DFD451E"/>
    <w:rsid w:val="603F2B70"/>
    <w:rsid w:val="607A2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semiHidden/>
    <w:unhideWhenUsed/>
    <w:uiPriority w:val="99"/>
    <w:pPr>
      <w:jc w:val="left"/>
    </w:pPr>
  </w:style>
  <w:style w:type="paragraph" w:styleId="3">
    <w:name w:val="Balloon Text"/>
    <w:basedOn w:val="1"/>
    <w:link w:val="16"/>
    <w:semiHidden/>
    <w:unhideWhenUsed/>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Calibri" w:hAnsi="Calibri"/>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6">
    <w:name w:val="annotation subject"/>
    <w:basedOn w:val="2"/>
    <w:next w:val="2"/>
    <w:link w:val="15"/>
    <w:semiHidden/>
    <w:unhideWhenUsed/>
    <w:uiPriority w:val="99"/>
    <w:rPr>
      <w:b/>
      <w:bCs/>
    </w:rPr>
  </w:style>
  <w:style w:type="table" w:styleId="8">
    <w:name w:val="Table Grid"/>
    <w:basedOn w:val="7"/>
    <w:qFormat/>
    <w:uiPriority w:val="3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semiHidden/>
    <w:unhideWhenUsed/>
    <w:qFormat/>
    <w:uiPriority w:val="99"/>
    <w:rPr>
      <w:sz w:val="21"/>
      <w:szCs w:val="21"/>
    </w:rPr>
  </w:style>
  <w:style w:type="character" w:customStyle="1" w:styleId="11">
    <w:name w:val="页眉 字符"/>
    <w:link w:val="5"/>
    <w:uiPriority w:val="99"/>
    <w:rPr>
      <w:sz w:val="18"/>
      <w:szCs w:val="18"/>
    </w:rPr>
  </w:style>
  <w:style w:type="character" w:customStyle="1" w:styleId="12">
    <w:name w:val="页脚 字符"/>
    <w:link w:val="4"/>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批注文字 字符"/>
    <w:link w:val="2"/>
    <w:semiHidden/>
    <w:qFormat/>
    <w:uiPriority w:val="99"/>
    <w:rPr>
      <w:rFonts w:ascii="Times New Roman" w:hAnsi="Times New Roman" w:eastAsia="宋体" w:cs="Times New Roman"/>
      <w:szCs w:val="20"/>
    </w:rPr>
  </w:style>
  <w:style w:type="character" w:customStyle="1" w:styleId="15">
    <w:name w:val="批注主题 字符"/>
    <w:link w:val="6"/>
    <w:semiHidden/>
    <w:qFormat/>
    <w:uiPriority w:val="99"/>
    <w:rPr>
      <w:rFonts w:ascii="Times New Roman" w:hAnsi="Times New Roman" w:eastAsia="宋体" w:cs="Times New Roman"/>
      <w:b/>
      <w:bCs/>
      <w:szCs w:val="20"/>
    </w:rPr>
  </w:style>
  <w:style w:type="character" w:customStyle="1" w:styleId="16">
    <w:name w:val="批注框文本 字符"/>
    <w:link w:val="3"/>
    <w:semiHidden/>
    <w:uiPriority w:val="99"/>
    <w:rPr>
      <w:rFonts w:ascii="Times New Roman" w:hAnsi="Times New Roman" w:eastAsia="宋体" w:cs="Times New Roman"/>
      <w:sz w:val="18"/>
      <w:szCs w:val="18"/>
    </w:rPr>
  </w:style>
  <w:style w:type="paragraph" w:customStyle="1" w:styleId="17">
    <w:name w:val="修订1"/>
    <w:hidden/>
    <w:semiHidden/>
    <w:uiPriority w:val="99"/>
    <w:rPr>
      <w:rFonts w:ascii="Times New Roman" w:hAnsi="Times New Roman" w:eastAsia="宋体" w:cs="Times New Roman"/>
      <w:kern w:val="2"/>
      <w:sz w:val="21"/>
      <w:lang w:val="en-US" w:eastAsia="zh-CN" w:bidi="ar-SA"/>
    </w:rPr>
  </w:style>
  <w:style w:type="paragraph" w:customStyle="1" w:styleId="18">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411</Words>
  <Characters>2349</Characters>
  <Lines>19</Lines>
  <Paragraphs>5</Paragraphs>
  <TotalTime>57</TotalTime>
  <ScaleCrop>false</ScaleCrop>
  <LinksUpToDate>false</LinksUpToDate>
  <CharactersWithSpaces>2755</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2023-12-20T08:26:00Z</dcterms:created>
  <dc:creator>Wu Han 邬焓</dc:creator>
  <cp:lastModifiedBy>牟海涛</cp:lastModifiedBy>
  <cp:lastPrinted>2018-07-10T09:31:00Z</cp:lastPrinted>
  <dcterms:modified xsi:type="dcterms:W3CDTF">2023-12-27T00:43:17Z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