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rPr>
          <w:wBefore w:w="0" w:type="dxa"/>
          <w:wAfter w:w="0" w:type="dxa"/>
        </w:trPr>
        <w:tc>
          <w:tcPr>
            <w:tcW w:w="1666" w:type="pct"/>
            <w:noWrap w:val="0"/>
            <w:vAlign w:val="top"/>
          </w:tcPr>
          <w:p>
            <w:pPr>
              <w:adjustRightInd w:val="0"/>
              <w:snapToGrid w:val="0"/>
              <w:spacing w:line="440" w:lineRule="exact"/>
              <w:rPr>
                <w:rFonts w:hint="default" w:ascii="Times New Roman" w:hAnsi="Times New Roman" w:cs="Times New Roman"/>
                <w:sz w:val="24"/>
              </w:rPr>
            </w:pPr>
            <w:bookmarkStart w:id="0" w:name="_GoBack"/>
            <w:bookmarkEnd w:id="0"/>
            <w:r>
              <w:rPr>
                <w:rFonts w:hint="default" w:ascii="Times New Roman" w:hAnsi="Times New Roman" w:cs="Times New Roman"/>
                <w:sz w:val="24"/>
              </w:rPr>
              <w:t>证券代码：000881</w:t>
            </w:r>
          </w:p>
        </w:tc>
        <w:tc>
          <w:tcPr>
            <w:tcW w:w="1667" w:type="pct"/>
            <w:noWrap w:val="0"/>
            <w:vAlign w:val="top"/>
          </w:tcPr>
          <w:p>
            <w:pPr>
              <w:adjustRightInd w:val="0"/>
              <w:snapToGrid w:val="0"/>
              <w:spacing w:line="440" w:lineRule="exact"/>
              <w:jc w:val="center"/>
              <w:rPr>
                <w:rFonts w:hint="default" w:ascii="Times New Roman" w:hAnsi="Times New Roman" w:cs="Times New Roman"/>
                <w:sz w:val="24"/>
              </w:rPr>
            </w:pPr>
            <w:r>
              <w:rPr>
                <w:rFonts w:hint="default" w:ascii="Times New Roman" w:hAnsi="Times New Roman" w:cs="Times New Roman"/>
                <w:sz w:val="24"/>
              </w:rPr>
              <w:t>证券简称：中广核技</w:t>
            </w:r>
          </w:p>
        </w:tc>
        <w:tc>
          <w:tcPr>
            <w:tcW w:w="1667" w:type="pct"/>
            <w:noWrap w:val="0"/>
            <w:vAlign w:val="top"/>
          </w:tcPr>
          <w:p>
            <w:pPr>
              <w:adjustRightInd w:val="0"/>
              <w:snapToGrid w:val="0"/>
              <w:spacing w:line="440" w:lineRule="exact"/>
              <w:jc w:val="right"/>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rPr>
              <w:t>公告编号：202</w:t>
            </w:r>
            <w:r>
              <w:rPr>
                <w:rFonts w:hint="eastAsia" w:ascii="Times New Roman" w:hAnsi="Times New Roman" w:cs="Times New Roman"/>
                <w:sz w:val="24"/>
                <w:highlight w:val="none"/>
                <w:lang w:val="en-US" w:eastAsia="zh-CN"/>
              </w:rPr>
              <w:t>3</w:t>
            </w:r>
            <w:r>
              <w:rPr>
                <w:rFonts w:hint="default" w:ascii="Times New Roman" w:hAnsi="Times New Roman" w:cs="Times New Roman"/>
                <w:sz w:val="24"/>
                <w:highlight w:val="none"/>
              </w:rPr>
              <w:t>-0</w:t>
            </w:r>
            <w:r>
              <w:rPr>
                <w:rFonts w:hint="eastAsia" w:ascii="Times New Roman" w:hAnsi="Times New Roman" w:cs="Times New Roman"/>
                <w:sz w:val="24"/>
                <w:highlight w:val="none"/>
                <w:lang w:val="en-US" w:eastAsia="zh-CN"/>
              </w:rPr>
              <w:t>94</w:t>
            </w:r>
          </w:p>
        </w:tc>
      </w:tr>
    </w:tbl>
    <w:p>
      <w:pPr>
        <w:snapToGrid w:val="0"/>
        <w:spacing w:before="156" w:beforeLines="50"/>
        <w:jc w:val="center"/>
        <w:rPr>
          <w:rFonts w:hint="default" w:ascii="Times New Roman" w:hAnsi="Times New Roman" w:cs="Times New Roman"/>
          <w:b/>
          <w:sz w:val="36"/>
          <w:szCs w:val="36"/>
        </w:rPr>
      </w:pPr>
      <w:r>
        <w:rPr>
          <w:rFonts w:hint="default" w:ascii="Times New Roman" w:hAnsi="Times New Roman" w:cs="Times New Roman"/>
          <w:b/>
          <w:sz w:val="36"/>
          <w:szCs w:val="36"/>
        </w:rPr>
        <w:t>中广核核技术发展股份有限公司</w:t>
      </w:r>
    </w:p>
    <w:p>
      <w:pPr>
        <w:snapToGrid w:val="0"/>
        <w:jc w:val="center"/>
        <w:rPr>
          <w:rFonts w:hint="default" w:ascii="Times New Roman" w:hAnsi="Times New Roman" w:cs="Times New Roman"/>
          <w:b/>
          <w:sz w:val="36"/>
          <w:szCs w:val="36"/>
        </w:rPr>
      </w:pPr>
      <w:r>
        <w:rPr>
          <w:rFonts w:hint="default" w:ascii="Times New Roman" w:hAnsi="Times New Roman" w:cs="Times New Roman"/>
          <w:b/>
          <w:sz w:val="36"/>
          <w:szCs w:val="36"/>
        </w:rPr>
        <w:t>出售</w:t>
      </w:r>
      <w:r>
        <w:rPr>
          <w:rFonts w:hint="eastAsia" w:ascii="Times New Roman" w:hAnsi="Times New Roman" w:cs="Times New Roman"/>
          <w:b/>
          <w:sz w:val="36"/>
          <w:szCs w:val="36"/>
          <w:lang w:val="en-US" w:eastAsia="zh-CN"/>
        </w:rPr>
        <w:t>资产</w:t>
      </w:r>
      <w:r>
        <w:rPr>
          <w:rFonts w:hint="default" w:ascii="Times New Roman" w:hAnsi="Times New Roman" w:cs="Times New Roman"/>
          <w:b/>
          <w:sz w:val="36"/>
          <w:szCs w:val="36"/>
        </w:rPr>
        <w:t>公告</w:t>
      </w:r>
    </w:p>
    <w:p>
      <w:pPr>
        <w:snapToGrid w:val="0"/>
        <w:spacing w:before="156" w:beforeLines="50" w:line="360" w:lineRule="auto"/>
        <w:ind w:firstLine="422" w:firstLineChars="200"/>
        <w:rPr>
          <w:rFonts w:hint="default" w:ascii="Times New Roman" w:hAnsi="Times New Roman" w:cs="Times New Roman"/>
          <w:b/>
          <w:szCs w:val="21"/>
        </w:rPr>
      </w:pPr>
      <w:r>
        <w:rPr>
          <w:rFonts w:hint="default" w:ascii="Times New Roman" w:hAnsi="Times New Roman" w:cs="Times New Roman"/>
          <w:b/>
          <w:szCs w:val="21"/>
        </w:rPr>
        <w:t>本公司及董事会全体成员保证信息披露的内容真实、准确、完整，没有虚假记载、误导性陈述或者重大遗漏。</w:t>
      </w:r>
    </w:p>
    <w:p>
      <w:pPr>
        <w:adjustRightInd w:val="0"/>
        <w:snapToGrid w:val="0"/>
        <w:spacing w:line="360" w:lineRule="auto"/>
        <w:ind w:firstLine="482" w:firstLineChars="200"/>
        <w:outlineLvl w:val="0"/>
        <w:rPr>
          <w:rFonts w:hint="default" w:ascii="Times New Roman" w:hAnsi="Times New Roman" w:eastAsia="宋体" w:cs="Times New Roman"/>
          <w:b/>
          <w:sz w:val="24"/>
          <w:szCs w:val="24"/>
          <w:lang w:val="en-US" w:eastAsia="zh-CN"/>
        </w:rPr>
      </w:pPr>
      <w:r>
        <w:rPr>
          <w:rFonts w:hint="eastAsia" w:ascii="Times New Roman" w:hAnsi="Times New Roman" w:cs="Times New Roman"/>
          <w:b/>
          <w:sz w:val="24"/>
          <w:szCs w:val="24"/>
          <w:lang w:val="en-US" w:eastAsia="zh-CN"/>
        </w:rPr>
        <w:t>一、交易概述</w:t>
      </w:r>
    </w:p>
    <w:p>
      <w:pPr>
        <w:adjustRightInd w:val="0"/>
        <w:snapToGrid w:val="0"/>
        <w:spacing w:line="360" w:lineRule="auto"/>
        <w:ind w:firstLine="480" w:firstLineChars="200"/>
        <w:outlineLvl w:val="0"/>
        <w:rPr>
          <w:rFonts w:hint="eastAsia" w:ascii="Times New Roman" w:hAnsi="Times New Roman" w:cs="Times New Roman"/>
          <w:b w:val="0"/>
          <w:bCs/>
          <w:sz w:val="24"/>
          <w:szCs w:val="24"/>
          <w:lang w:eastAsia="zh-CN"/>
        </w:rPr>
      </w:pPr>
      <w:r>
        <w:rPr>
          <w:rFonts w:hint="default" w:ascii="Times New Roman" w:hAnsi="Times New Roman" w:cs="Times New Roman"/>
          <w:b w:val="0"/>
          <w:bCs/>
          <w:sz w:val="24"/>
          <w:szCs w:val="24"/>
        </w:rPr>
        <w:t>中广核核技术发展股份有限公司（以下简称</w:t>
      </w:r>
      <w:r>
        <w:rPr>
          <w:rFonts w:hint="eastAsia" w:ascii="宋体" w:hAnsi="宋体" w:eastAsia="宋体" w:cs="宋体"/>
          <w:b w:val="0"/>
          <w:bCs/>
          <w:sz w:val="24"/>
          <w:szCs w:val="24"/>
        </w:rPr>
        <w:t>“公司”或“中广核技”</w:t>
      </w:r>
      <w:r>
        <w:rPr>
          <w:rFonts w:hint="default" w:ascii="Times New Roman" w:hAnsi="Times New Roman" w:cs="Times New Roman"/>
          <w:b w:val="0"/>
          <w:bCs/>
          <w:sz w:val="24"/>
          <w:szCs w:val="24"/>
        </w:rPr>
        <w:t>）于2023年7月17日召开的第十届董事会第七次会议以</w:t>
      </w:r>
      <w:r>
        <w:rPr>
          <w:rFonts w:hint="eastAsia" w:ascii="Times New Roman" w:hAnsi="Times New Roman" w:cs="Times New Roman"/>
          <w:b w:val="0"/>
          <w:bCs/>
          <w:sz w:val="24"/>
          <w:szCs w:val="24"/>
          <w:lang w:val="en-US" w:eastAsia="zh-CN"/>
        </w:rPr>
        <w:t>8</w:t>
      </w:r>
      <w:r>
        <w:rPr>
          <w:rFonts w:hint="default" w:ascii="Times New Roman" w:hAnsi="Times New Roman" w:cs="Times New Roman"/>
          <w:b w:val="0"/>
          <w:bCs/>
          <w:sz w:val="24"/>
          <w:szCs w:val="24"/>
        </w:rPr>
        <w:t>票同意、0票反对、0票弃权、</w:t>
      </w:r>
      <w:r>
        <w:rPr>
          <w:rFonts w:hint="eastAsia" w:ascii="Times New Roman" w:hAnsi="Times New Roman" w:cs="Times New Roman"/>
          <w:b w:val="0"/>
          <w:bCs/>
          <w:sz w:val="24"/>
          <w:szCs w:val="24"/>
          <w:lang w:val="en-US" w:eastAsia="zh-CN"/>
        </w:rPr>
        <w:t>0</w:t>
      </w:r>
      <w:r>
        <w:rPr>
          <w:rFonts w:hint="default" w:ascii="Times New Roman" w:hAnsi="Times New Roman" w:cs="Times New Roman"/>
          <w:b w:val="0"/>
          <w:bCs/>
          <w:sz w:val="24"/>
          <w:szCs w:val="24"/>
        </w:rPr>
        <w:t>票回避的表决结果审议通过了</w:t>
      </w:r>
      <w:r>
        <w:rPr>
          <w:rFonts w:hint="eastAsia" w:ascii="Times New Roman" w:hAnsi="Times New Roman" w:cs="Times New Roman"/>
          <w:b w:val="0"/>
          <w:bCs/>
          <w:sz w:val="24"/>
          <w:szCs w:val="24"/>
          <w:lang w:eastAsia="zh-CN"/>
        </w:rPr>
        <w:t>《</w:t>
      </w:r>
      <w:r>
        <w:rPr>
          <w:rFonts w:hint="default" w:ascii="Times New Roman" w:hAnsi="Times New Roman" w:cs="Times New Roman"/>
          <w:b w:val="0"/>
          <w:bCs/>
          <w:sz w:val="24"/>
          <w:szCs w:val="24"/>
        </w:rPr>
        <w:t>关于转让北京金时代置业有限公司股权及债权决策的议案</w:t>
      </w:r>
      <w:r>
        <w:rPr>
          <w:rFonts w:hint="eastAsia" w:ascii="Times New Roman" w:hAnsi="Times New Roman" w:cs="Times New Roman"/>
          <w:b w:val="0"/>
          <w:bCs/>
          <w:sz w:val="24"/>
          <w:szCs w:val="24"/>
          <w:lang w:eastAsia="zh-CN"/>
        </w:rPr>
        <w:t>》，董事会同意将中广核技及其子公司持有的北京金时代置业有限公司（以下简称“北京金时代”“标的公司”或“标的企业”）82%股权及债权于产权交易机构公开挂牌转让，其中北京金时代82%股权的挂牌价格不低于1元人民币，北京金时代债权的挂牌价格不低于1,762.62万元人民币（具体债权金额以正式挂牌当天账面金额为准）。</w:t>
      </w:r>
    </w:p>
    <w:p>
      <w:pPr>
        <w:adjustRightInd w:val="0"/>
        <w:snapToGrid w:val="0"/>
        <w:spacing w:line="360" w:lineRule="auto"/>
        <w:ind w:firstLine="480" w:firstLineChars="200"/>
        <w:outlineLvl w:val="0"/>
        <w:rPr>
          <w:rFonts w:hint="default" w:ascii="Times New Roman" w:hAnsi="Times New Roman" w:eastAsia="宋体" w:cs="Times New Roman"/>
          <w:b w:val="0"/>
          <w:bCs/>
          <w:sz w:val="24"/>
          <w:szCs w:val="24"/>
          <w:lang w:val="en-US" w:eastAsia="zh-CN"/>
        </w:rPr>
      </w:pPr>
      <w:r>
        <w:rPr>
          <w:rFonts w:hint="eastAsia" w:ascii="Times New Roman" w:hAnsi="Times New Roman" w:eastAsia="宋体" w:cs="Times New Roman"/>
          <w:b w:val="0"/>
          <w:bCs/>
          <w:sz w:val="24"/>
          <w:szCs w:val="24"/>
          <w:highlight w:val="none"/>
          <w:lang w:val="en-US" w:eastAsia="zh-CN"/>
        </w:rPr>
        <w:t>2023年10月2日，公司</w:t>
      </w:r>
      <w:r>
        <w:rPr>
          <w:rFonts w:hint="eastAsia" w:ascii="Times New Roman" w:hAnsi="Times New Roman" w:eastAsia="宋体" w:cs="Times New Roman"/>
          <w:b w:val="0"/>
          <w:bCs/>
          <w:sz w:val="24"/>
          <w:szCs w:val="24"/>
          <w:lang w:val="en-US" w:eastAsia="zh-CN"/>
        </w:rPr>
        <w:t>与北京普瑞恒得投资担保有限公司（以下简称“普瑞恒得公司”）签订《产权交易合同》，项目转让价格为人民币2,023.7930万元，其中：北京金时代82%股权的价格为人民币0.0001万元；债权价格为2,023.7929万元。</w:t>
      </w:r>
    </w:p>
    <w:p>
      <w:pPr>
        <w:adjustRightInd w:val="0"/>
        <w:snapToGrid w:val="0"/>
        <w:spacing w:line="360" w:lineRule="auto"/>
        <w:ind w:firstLine="480" w:firstLineChars="200"/>
        <w:outlineLvl w:val="0"/>
        <w:rPr>
          <w:rFonts w:hint="default" w:ascii="Times New Roman" w:hAnsi="Times New Roman" w:eastAsia="宋体" w:cs="Times New Roman"/>
          <w:b w:val="0"/>
          <w:bCs/>
          <w:sz w:val="24"/>
          <w:szCs w:val="24"/>
          <w:lang w:val="en-US" w:eastAsia="zh-CN"/>
        </w:rPr>
      </w:pPr>
      <w:r>
        <w:rPr>
          <w:rFonts w:hint="eastAsia" w:ascii="Times New Roman" w:hAnsi="Times New Roman" w:eastAsia="宋体" w:cs="Times New Roman"/>
          <w:b w:val="0"/>
          <w:bCs/>
          <w:sz w:val="24"/>
          <w:szCs w:val="24"/>
          <w:lang w:val="en-US" w:eastAsia="zh-CN"/>
        </w:rPr>
        <w:t>本事项不构成关联交易、不构成《上市公司重大资产重组管理办法》规定的重大资产重组。</w:t>
      </w:r>
      <w:r>
        <w:rPr>
          <w:rFonts w:hint="default" w:ascii="Times New Roman" w:hAnsi="Times New Roman" w:eastAsia="宋体" w:cs="Times New Roman"/>
          <w:b w:val="0"/>
          <w:bCs/>
          <w:sz w:val="24"/>
          <w:szCs w:val="24"/>
        </w:rPr>
        <w:t>本次交易</w:t>
      </w:r>
      <w:r>
        <w:rPr>
          <w:rFonts w:hint="eastAsia" w:ascii="Times New Roman" w:hAnsi="Times New Roman" w:eastAsia="宋体" w:cs="Times New Roman"/>
          <w:b w:val="0"/>
          <w:bCs/>
          <w:sz w:val="24"/>
          <w:szCs w:val="24"/>
          <w:lang w:val="en-US" w:eastAsia="zh-CN"/>
        </w:rPr>
        <w:t>在董事会审议权限内，无须提交股东大会审议。</w:t>
      </w:r>
    </w:p>
    <w:p>
      <w:pPr>
        <w:adjustRightInd w:val="0"/>
        <w:snapToGrid w:val="0"/>
        <w:spacing w:line="360" w:lineRule="auto"/>
        <w:ind w:firstLine="482" w:firstLineChars="200"/>
        <w:outlineLvl w:val="0"/>
        <w:rPr>
          <w:rFonts w:hint="eastAsia" w:ascii="Times New Roman" w:hAnsi="Times New Roman" w:eastAsia="宋体" w:cs="Times New Roman"/>
          <w:b/>
          <w:sz w:val="24"/>
          <w:szCs w:val="24"/>
          <w:lang w:val="en-US" w:eastAsia="zh-CN"/>
        </w:rPr>
      </w:pPr>
      <w:r>
        <w:rPr>
          <w:rFonts w:hint="eastAsia" w:ascii="Times New Roman" w:hAnsi="Times New Roman" w:cs="Times New Roman"/>
          <w:b/>
          <w:sz w:val="24"/>
          <w:szCs w:val="24"/>
          <w:lang w:val="en-US" w:eastAsia="zh-CN"/>
        </w:rPr>
        <w:t>二、交易对方的基本情况</w:t>
      </w:r>
    </w:p>
    <w:tbl>
      <w:tblPr>
        <w:tblStyle w:val="1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90"/>
        <w:gridCol w:w="64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公司名称</w:t>
            </w:r>
          </w:p>
        </w:tc>
        <w:tc>
          <w:tcPr>
            <w:tcW w:w="3773" w:type="pct"/>
            <w:noWrap w:val="0"/>
            <w:vAlign w:val="center"/>
          </w:tcPr>
          <w:p>
            <w:r>
              <w:rPr>
                <w:rFonts w:hint="eastAsia"/>
              </w:rPr>
              <w:t>北京普瑞恒得投资担保有限公司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rFonts w:hint="eastAsia"/>
                <w:b/>
              </w:rPr>
              <w:t>统一社会信用代码</w:t>
            </w:r>
          </w:p>
        </w:tc>
        <w:tc>
          <w:tcPr>
            <w:tcW w:w="3773" w:type="pct"/>
            <w:noWrap w:val="0"/>
            <w:vAlign w:val="center"/>
          </w:tcPr>
          <w:p>
            <w:r>
              <w:rPr>
                <w:rFonts w:hint="eastAsia"/>
              </w:rPr>
              <w:t>91110117751331855G</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住所</w:t>
            </w:r>
          </w:p>
        </w:tc>
        <w:tc>
          <w:tcPr>
            <w:tcW w:w="3773" w:type="pct"/>
            <w:noWrap w:val="0"/>
            <w:vAlign w:val="center"/>
          </w:tcPr>
          <w:p>
            <w:r>
              <w:rPr>
                <w:rFonts w:hint="eastAsia"/>
              </w:rPr>
              <w:t>北京市平谷区王辛庄镇工业小区1区18号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注册资本</w:t>
            </w:r>
          </w:p>
        </w:tc>
        <w:tc>
          <w:tcPr>
            <w:tcW w:w="3773" w:type="pct"/>
            <w:noWrap w:val="0"/>
            <w:vAlign w:val="center"/>
          </w:tcPr>
          <w:p>
            <w:r>
              <w:rPr>
                <w:rFonts w:hint="eastAsia"/>
              </w:rPr>
              <w:t>7080万元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企业类型</w:t>
            </w:r>
          </w:p>
        </w:tc>
        <w:tc>
          <w:tcPr>
            <w:tcW w:w="3773" w:type="pct"/>
            <w:noWrap w:val="0"/>
            <w:vAlign w:val="center"/>
          </w:tcPr>
          <w:p>
            <w:r>
              <w:rPr>
                <w:rFonts w:hint="eastAsia"/>
              </w:rPr>
              <w:t>有限责任公司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成立日期</w:t>
            </w:r>
          </w:p>
        </w:tc>
        <w:tc>
          <w:tcPr>
            <w:tcW w:w="3773" w:type="pct"/>
            <w:noWrap w:val="0"/>
            <w:vAlign w:val="center"/>
          </w:tcPr>
          <w:p>
            <w:pPr>
              <w:rPr>
                <w:rFonts w:hint="default" w:eastAsia="宋体"/>
                <w:lang w:val="en-US" w:eastAsia="zh-CN"/>
              </w:rPr>
            </w:pPr>
            <w:r>
              <w:rPr>
                <w:rFonts w:hint="eastAsia"/>
              </w:rPr>
              <w:t>200</w:t>
            </w:r>
            <w:r>
              <w:rPr>
                <w:rFonts w:hint="eastAsia"/>
                <w:lang w:val="en-US" w:eastAsia="zh-CN"/>
              </w:rPr>
              <w:t>3</w:t>
            </w:r>
            <w:r>
              <w:rPr>
                <w:rFonts w:hint="eastAsia"/>
              </w:rPr>
              <w:t>-</w:t>
            </w:r>
            <w:r>
              <w:rPr>
                <w:rFonts w:hint="eastAsia"/>
                <w:lang w:val="en-US" w:eastAsia="zh-CN"/>
              </w:rPr>
              <w:t>06</w:t>
            </w:r>
            <w:r>
              <w:rPr>
                <w:rFonts w:hint="eastAsia"/>
              </w:rPr>
              <w:t>-</w:t>
            </w:r>
            <w:r>
              <w:rPr>
                <w:rFonts w:hint="eastAsia"/>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法定代表人</w:t>
            </w:r>
          </w:p>
        </w:tc>
        <w:tc>
          <w:tcPr>
            <w:tcW w:w="3773" w:type="pct"/>
            <w:noWrap w:val="0"/>
            <w:vAlign w:val="center"/>
          </w:tcPr>
          <w:p>
            <w:r>
              <w:rPr>
                <w:rFonts w:hint="eastAsia"/>
              </w:rPr>
              <w:t>黄家文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6" w:hRule="atLeast"/>
        </w:trPr>
        <w:tc>
          <w:tcPr>
            <w:tcW w:w="1226" w:type="pct"/>
            <w:noWrap w:val="0"/>
            <w:vAlign w:val="center"/>
          </w:tcPr>
          <w:p>
            <w:pPr>
              <w:rPr>
                <w:b/>
              </w:rPr>
            </w:pPr>
            <w:r>
              <w:rPr>
                <w:b/>
              </w:rPr>
              <w:t>经营范围</w:t>
            </w:r>
          </w:p>
        </w:tc>
        <w:tc>
          <w:tcPr>
            <w:tcW w:w="3773" w:type="pct"/>
            <w:noWrap w:val="0"/>
            <w:vAlign w:val="center"/>
          </w:tcPr>
          <w:p>
            <w:r>
              <w:rPr>
                <w:rFonts w:hint="eastAsia"/>
              </w:rPr>
              <w:t>为中小企业和个人提供担保服务、融资租赁及其它经济合同的担保；个人消费信贷担保；汽车消费信贷担保；投资管理、资产管理；投资咨询。（市场主体依法自主选择经营项目，开展经营活动；依法须经批准的项目，经相关部门批准后依批准的内容开展经营活动；不得从事国家和本市产业政策禁止和限制类项目的经营活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6" w:hRule="atLeast"/>
        </w:trPr>
        <w:tc>
          <w:tcPr>
            <w:tcW w:w="1226" w:type="pct"/>
            <w:noWrap w:val="0"/>
            <w:vAlign w:val="center"/>
          </w:tcPr>
          <w:p>
            <w:pPr>
              <w:rPr>
                <w:rFonts w:hint="default" w:eastAsia="宋体"/>
                <w:b/>
                <w:color w:val="auto"/>
                <w:lang w:val="en-US" w:eastAsia="zh-CN"/>
              </w:rPr>
            </w:pPr>
            <w:r>
              <w:rPr>
                <w:rFonts w:hint="eastAsia"/>
                <w:b/>
                <w:color w:val="auto"/>
                <w:lang w:val="en-US" w:eastAsia="zh-CN"/>
              </w:rPr>
              <w:t>主要财务数据</w:t>
            </w:r>
          </w:p>
        </w:tc>
        <w:tc>
          <w:tcPr>
            <w:tcW w:w="3773" w:type="pct"/>
            <w:noWrap w:val="0"/>
            <w:vAlign w:val="center"/>
          </w:tcPr>
          <w:p>
            <w:pPr>
              <w:rPr>
                <w:rFonts w:hint="default" w:eastAsia="宋体"/>
                <w:color w:val="auto"/>
                <w:lang w:val="en-US" w:eastAsia="zh-CN"/>
              </w:rPr>
            </w:pPr>
            <w:r>
              <w:rPr>
                <w:rFonts w:hint="eastAsia"/>
                <w:color w:val="auto"/>
                <w:lang w:val="en-US" w:eastAsia="zh-CN"/>
              </w:rPr>
              <w:t>2022年12月31日，资产总额11,858,273.94元，净资产11,679,028.56元；2022年度营业收入0元，净利润-75,956.27元，经营活动产生的现金流量净额0元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5" w:hRule="atLeast"/>
        </w:trPr>
        <w:tc>
          <w:tcPr>
            <w:tcW w:w="1226" w:type="pct"/>
            <w:noWrap w:val="0"/>
            <w:vAlign w:val="center"/>
          </w:tcPr>
          <w:p>
            <w:pPr>
              <w:rPr>
                <w:rFonts w:hint="default" w:eastAsia="宋体"/>
                <w:b/>
                <w:lang w:val="en-US" w:eastAsia="zh-CN"/>
              </w:rPr>
            </w:pPr>
            <w:r>
              <w:rPr>
                <w:rFonts w:hint="eastAsia"/>
                <w:b/>
                <w:lang w:val="en-US" w:eastAsia="zh-CN"/>
              </w:rPr>
              <w:t>主要股东</w:t>
            </w:r>
          </w:p>
        </w:tc>
        <w:tc>
          <w:tcPr>
            <w:tcW w:w="3773" w:type="pct"/>
            <w:noWrap w:val="0"/>
            <w:vAlign w:val="center"/>
          </w:tcPr>
          <w:p>
            <w:pPr>
              <w:rPr>
                <w:rFonts w:hint="default" w:eastAsia="宋体"/>
                <w:lang w:val="en-US" w:eastAsia="zh-CN"/>
              </w:rPr>
            </w:pPr>
            <w:r>
              <w:rPr>
                <w:rFonts w:hint="default" w:eastAsia="宋体"/>
                <w:lang w:val="en-US" w:eastAsia="zh-CN"/>
              </w:rPr>
              <w:t>黄家文</w:t>
            </w:r>
            <w:r>
              <w:rPr>
                <w:rFonts w:hint="eastAsia" w:eastAsia="宋体"/>
                <w:lang w:val="en-US" w:eastAsia="zh-CN"/>
              </w:rPr>
              <w:t>（40%）</w:t>
            </w:r>
            <w:r>
              <w:rPr>
                <w:rFonts w:hint="default" w:eastAsia="宋体"/>
                <w:lang w:val="en-US" w:eastAsia="zh-CN"/>
              </w:rPr>
              <w:t>、曹远林</w:t>
            </w:r>
            <w:r>
              <w:rPr>
                <w:rFonts w:hint="eastAsia" w:eastAsia="宋体"/>
                <w:lang w:val="en-US" w:eastAsia="zh-CN"/>
              </w:rPr>
              <w:t>（35%）</w:t>
            </w:r>
            <w:r>
              <w:rPr>
                <w:rFonts w:hint="default" w:eastAsia="宋体"/>
                <w:lang w:val="en-US" w:eastAsia="zh-CN"/>
              </w:rPr>
              <w:t>、刘敏君</w:t>
            </w:r>
            <w:r>
              <w:rPr>
                <w:rFonts w:hint="eastAsia" w:eastAsia="宋体"/>
                <w:lang w:val="en-US" w:eastAsia="zh-CN"/>
              </w:rPr>
              <w:t>（10%）</w:t>
            </w:r>
            <w:r>
              <w:rPr>
                <w:rFonts w:hint="default" w:eastAsia="宋体"/>
                <w:lang w:val="en-US" w:eastAsia="zh-CN"/>
              </w:rPr>
              <w:t>、孟兆永</w:t>
            </w:r>
            <w:r>
              <w:rPr>
                <w:rFonts w:hint="eastAsia" w:eastAsia="宋体"/>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5" w:hRule="atLeast"/>
        </w:trPr>
        <w:tc>
          <w:tcPr>
            <w:tcW w:w="1226" w:type="pct"/>
            <w:noWrap w:val="0"/>
            <w:vAlign w:val="center"/>
          </w:tcPr>
          <w:p>
            <w:pPr>
              <w:rPr>
                <w:rFonts w:hint="default"/>
                <w:b/>
                <w:lang w:val="en-US" w:eastAsia="zh-CN"/>
              </w:rPr>
            </w:pPr>
            <w:r>
              <w:rPr>
                <w:rFonts w:hint="eastAsia"/>
                <w:b/>
                <w:lang w:val="en-US" w:eastAsia="zh-CN"/>
              </w:rPr>
              <w:t>关联关系</w:t>
            </w:r>
          </w:p>
        </w:tc>
        <w:tc>
          <w:tcPr>
            <w:tcW w:w="3773" w:type="pct"/>
            <w:noWrap w:val="0"/>
            <w:vAlign w:val="center"/>
          </w:tcPr>
          <w:p>
            <w:pPr>
              <w:rPr>
                <w:rFonts w:hint="default" w:eastAsia="宋体"/>
                <w:lang w:val="en-US" w:eastAsia="zh-CN"/>
              </w:rPr>
            </w:pPr>
            <w:r>
              <w:rPr>
                <w:rFonts w:hint="default" w:eastAsia="宋体"/>
                <w:lang w:val="en-US" w:eastAsia="zh-CN"/>
              </w:rPr>
              <w:t>交易对方</w:t>
            </w:r>
            <w:r>
              <w:rPr>
                <w:rFonts w:hint="eastAsia" w:eastAsia="宋体"/>
                <w:lang w:val="en-US" w:eastAsia="zh-CN"/>
              </w:rPr>
              <w:t>不</w:t>
            </w:r>
            <w:r>
              <w:rPr>
                <w:rFonts w:hint="default" w:eastAsia="宋体"/>
                <w:lang w:val="en-US" w:eastAsia="zh-CN"/>
              </w:rPr>
              <w:t>存在与上市公司及上市公司前十名股东在产权、业务、资产、债权债务、人员等方面的关系以及其他可能或已经造成上市公司对其利益倾斜的其他关系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rFonts w:hint="eastAsia"/>
                <w:b/>
              </w:rPr>
              <w:t>是否失信责任主体</w:t>
            </w:r>
          </w:p>
        </w:tc>
        <w:tc>
          <w:tcPr>
            <w:tcW w:w="3773" w:type="pct"/>
            <w:noWrap w:val="0"/>
            <w:vAlign w:val="center"/>
          </w:tcPr>
          <w:p>
            <w:pPr>
              <w:rPr>
                <w:rFonts w:hint="eastAsia" w:eastAsia="宋体"/>
                <w:lang w:val="en-US" w:eastAsia="zh-CN"/>
              </w:rPr>
            </w:pPr>
            <w:r>
              <w:rPr>
                <w:rFonts w:hint="eastAsia"/>
                <w:lang w:val="en-US" w:eastAsia="zh-CN"/>
              </w:rPr>
              <w:t>否</w:t>
            </w:r>
          </w:p>
        </w:tc>
      </w:tr>
    </w:tbl>
    <w:p>
      <w:pPr>
        <w:adjustRightInd w:val="0"/>
        <w:snapToGrid w:val="0"/>
        <w:spacing w:line="360" w:lineRule="auto"/>
        <w:ind w:firstLine="420" w:firstLineChars="200"/>
        <w:outlineLvl w:val="0"/>
        <w:rPr>
          <w:rFonts w:hint="eastAsia" w:ascii="Times New Roman" w:hAnsi="Times New Roman" w:cs="Times New Roman"/>
          <w:b/>
          <w:sz w:val="24"/>
          <w:szCs w:val="24"/>
          <w:lang w:val="en-US" w:eastAsia="zh-CN"/>
        </w:rPr>
      </w:pPr>
      <w:r>
        <w:rPr>
          <w:rFonts w:hint="eastAsia" w:ascii="Times New Roman" w:hAnsi="Times New Roman" w:cs="Times New Roman"/>
          <w:b w:val="0"/>
          <w:bCs/>
          <w:sz w:val="21"/>
          <w:szCs w:val="21"/>
          <w:lang w:val="en-US" w:eastAsia="zh-CN"/>
        </w:rPr>
        <w:t>普瑞恒得公司已支付607万元人民币交易保证金，其违约的可能性较低。</w:t>
      </w:r>
    </w:p>
    <w:p>
      <w:pPr>
        <w:adjustRightInd w:val="0"/>
        <w:snapToGrid w:val="0"/>
        <w:spacing w:line="360" w:lineRule="auto"/>
        <w:ind w:firstLine="482" w:firstLineChars="200"/>
        <w:outlineLvl w:val="0"/>
        <w:rPr>
          <w:rFonts w:hint="eastAsia" w:ascii="Times New Roman" w:hAnsi="Times New Roman" w:eastAsia="宋体" w:cs="Times New Roman"/>
          <w:b/>
          <w:sz w:val="24"/>
          <w:szCs w:val="24"/>
          <w:lang w:val="en-US" w:eastAsia="zh-CN"/>
        </w:rPr>
      </w:pPr>
      <w:r>
        <w:rPr>
          <w:rFonts w:hint="eastAsia" w:ascii="Times New Roman" w:hAnsi="Times New Roman" w:cs="Times New Roman"/>
          <w:b/>
          <w:sz w:val="24"/>
          <w:szCs w:val="24"/>
          <w:lang w:val="en-US" w:eastAsia="zh-CN"/>
        </w:rPr>
        <w:t>三、交易标的基本情况</w:t>
      </w:r>
    </w:p>
    <w:p>
      <w:p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本次交易标的包括北京金时代82%股权和公司及子公司应收北京金时代债权。</w:t>
      </w:r>
    </w:p>
    <w:p>
      <w:pPr>
        <w:adjustRightInd w:val="0"/>
        <w:snapToGrid w:val="0"/>
        <w:spacing w:line="360" w:lineRule="auto"/>
        <w:ind w:firstLine="482" w:firstLineChars="200"/>
        <w:outlineLvl w:val="0"/>
        <w:rPr>
          <w:rFonts w:hint="default" w:ascii="Times New Roman" w:hAnsi="Times New Roman" w:cs="Times New Roman"/>
          <w:b/>
          <w:bCs w:val="0"/>
          <w:sz w:val="24"/>
          <w:szCs w:val="24"/>
          <w:lang w:val="en-US" w:eastAsia="zh-CN"/>
        </w:rPr>
      </w:pPr>
      <w:r>
        <w:rPr>
          <w:rFonts w:hint="eastAsia" w:ascii="Times New Roman" w:hAnsi="Times New Roman" w:cs="Times New Roman"/>
          <w:b/>
          <w:bCs w:val="0"/>
          <w:sz w:val="24"/>
          <w:szCs w:val="24"/>
          <w:lang w:val="en-US" w:eastAsia="zh-CN"/>
        </w:rPr>
        <w:t>（一）标的公司主要情况</w:t>
      </w:r>
    </w:p>
    <w:tbl>
      <w:tblPr>
        <w:tblStyle w:val="1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90"/>
        <w:gridCol w:w="64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公司名称</w:t>
            </w:r>
          </w:p>
        </w:tc>
        <w:tc>
          <w:tcPr>
            <w:tcW w:w="3773" w:type="pct"/>
            <w:noWrap w:val="0"/>
            <w:vAlign w:val="center"/>
          </w:tcPr>
          <w:p>
            <w:r>
              <w:rPr>
                <w:rFonts w:hint="eastAsia"/>
              </w:rPr>
              <w:t>北京金时代置业有限公司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rFonts w:hint="eastAsia"/>
                <w:b/>
              </w:rPr>
              <w:t>统一社会信用代码</w:t>
            </w:r>
          </w:p>
        </w:tc>
        <w:tc>
          <w:tcPr>
            <w:tcW w:w="3773" w:type="pct"/>
            <w:noWrap w:val="0"/>
            <w:vAlign w:val="center"/>
          </w:tcPr>
          <w:p>
            <w:r>
              <w:rPr>
                <w:rFonts w:hint="eastAsia"/>
              </w:rPr>
              <w:t>911101127334453812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住所</w:t>
            </w:r>
          </w:p>
        </w:tc>
        <w:tc>
          <w:tcPr>
            <w:tcW w:w="3773" w:type="pct"/>
            <w:noWrap w:val="0"/>
            <w:vAlign w:val="center"/>
          </w:tcPr>
          <w:p>
            <w:r>
              <w:rPr>
                <w:rFonts w:hint="eastAsia"/>
              </w:rPr>
              <w:t>北京市通州区永乐经济技术开发区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注册资本</w:t>
            </w:r>
          </w:p>
        </w:tc>
        <w:tc>
          <w:tcPr>
            <w:tcW w:w="3773" w:type="pct"/>
            <w:noWrap w:val="0"/>
            <w:vAlign w:val="center"/>
          </w:tcPr>
          <w:p>
            <w:r>
              <w:rPr>
                <w:rFonts w:hint="eastAsia"/>
              </w:rPr>
              <w:t>3000万人民币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企业类型</w:t>
            </w:r>
          </w:p>
        </w:tc>
        <w:tc>
          <w:tcPr>
            <w:tcW w:w="3773" w:type="pct"/>
            <w:noWrap w:val="0"/>
            <w:vAlign w:val="center"/>
          </w:tcPr>
          <w:p>
            <w:r>
              <w:rPr>
                <w:rFonts w:hint="eastAsia"/>
              </w:rPr>
              <w:t>其他有限责任公司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成立日期</w:t>
            </w:r>
          </w:p>
        </w:tc>
        <w:tc>
          <w:tcPr>
            <w:tcW w:w="3773" w:type="pct"/>
            <w:noWrap w:val="0"/>
            <w:vAlign w:val="center"/>
          </w:tcPr>
          <w:p>
            <w:r>
              <w:rPr>
                <w:rFonts w:hint="eastAsia"/>
              </w:rPr>
              <w:t>2001-12-05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法定代表人</w:t>
            </w:r>
          </w:p>
        </w:tc>
        <w:tc>
          <w:tcPr>
            <w:tcW w:w="3773" w:type="pct"/>
            <w:noWrap w:val="0"/>
            <w:vAlign w:val="center"/>
          </w:tcPr>
          <w:p>
            <w:r>
              <w:rPr>
                <w:rFonts w:hint="eastAsia"/>
              </w:rPr>
              <w:t>周曙光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6" w:hRule="atLeast"/>
        </w:trPr>
        <w:tc>
          <w:tcPr>
            <w:tcW w:w="1226" w:type="pct"/>
            <w:noWrap w:val="0"/>
            <w:vAlign w:val="center"/>
          </w:tcPr>
          <w:p>
            <w:pPr>
              <w:rPr>
                <w:b/>
              </w:rPr>
            </w:pPr>
            <w:r>
              <w:rPr>
                <w:b/>
              </w:rPr>
              <w:t>经营范围</w:t>
            </w:r>
          </w:p>
        </w:tc>
        <w:tc>
          <w:tcPr>
            <w:tcW w:w="3773" w:type="pct"/>
            <w:noWrap w:val="0"/>
            <w:vAlign w:val="center"/>
          </w:tcPr>
          <w:p>
            <w:r>
              <w:rPr>
                <w:rFonts w:hint="eastAsia"/>
              </w:rPr>
              <w:t>房地产开发；销售商品房；房屋租赁。（市场主体依法自主选择经营项目，开展经营活动；依法须经批准的项目，经相关部门批准后依批准的内容开展经营活动；不得从事国家和本市产业政策禁止和限制类项目的经营活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5" w:hRule="atLeast"/>
        </w:trPr>
        <w:tc>
          <w:tcPr>
            <w:tcW w:w="1226" w:type="pct"/>
            <w:noWrap w:val="0"/>
            <w:vAlign w:val="center"/>
          </w:tcPr>
          <w:p>
            <w:pPr>
              <w:rPr>
                <w:rFonts w:hint="default" w:eastAsia="宋体"/>
                <w:b/>
                <w:lang w:val="en-US" w:eastAsia="zh-CN"/>
              </w:rPr>
            </w:pPr>
            <w:r>
              <w:rPr>
                <w:rFonts w:hint="eastAsia"/>
                <w:b/>
                <w:lang w:val="en-US" w:eastAsia="zh-CN"/>
              </w:rPr>
              <w:t>主要股东</w:t>
            </w:r>
          </w:p>
        </w:tc>
        <w:tc>
          <w:tcPr>
            <w:tcW w:w="3773" w:type="pct"/>
            <w:noWrap w:val="0"/>
            <w:vAlign w:val="center"/>
          </w:tcPr>
          <w:p>
            <w:pPr>
              <w:rPr>
                <w:rFonts w:hint="default" w:eastAsia="宋体"/>
                <w:lang w:val="en-US" w:eastAsia="zh-CN"/>
              </w:rPr>
            </w:pPr>
            <w:r>
              <w:rPr>
                <w:rFonts w:hint="eastAsia"/>
                <w:lang w:val="en-US" w:eastAsia="zh-CN"/>
              </w:rPr>
              <w:t>公司持有82%股权，北京北亚华欣置业有限公司持有18%股权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4" w:hRule="atLeast"/>
        </w:trPr>
        <w:tc>
          <w:tcPr>
            <w:tcW w:w="1226" w:type="pct"/>
            <w:noWrap w:val="0"/>
            <w:vAlign w:val="center"/>
          </w:tcPr>
          <w:p>
            <w:pPr>
              <w:rPr>
                <w:rFonts w:hint="default"/>
                <w:b/>
                <w:color w:val="auto"/>
                <w:lang w:val="en-US" w:eastAsia="zh-CN"/>
              </w:rPr>
            </w:pPr>
            <w:r>
              <w:rPr>
                <w:rFonts w:hint="eastAsia"/>
                <w:b/>
                <w:color w:val="auto"/>
                <w:lang w:val="en-US" w:eastAsia="zh-CN"/>
              </w:rPr>
              <w:t>优先受让权</w:t>
            </w:r>
          </w:p>
        </w:tc>
        <w:tc>
          <w:tcPr>
            <w:tcW w:w="3773" w:type="pct"/>
            <w:noWrap w:val="0"/>
            <w:vAlign w:val="center"/>
          </w:tcPr>
          <w:p>
            <w:pPr>
              <w:rPr>
                <w:rFonts w:hint="eastAsia"/>
                <w:color w:val="auto"/>
              </w:rPr>
            </w:pPr>
            <w:r>
              <w:rPr>
                <w:rFonts w:hint="eastAsia"/>
                <w:color w:val="auto"/>
                <w:lang w:val="en-US" w:eastAsia="zh-CN"/>
              </w:rPr>
              <w:t>公司于2023年4月27日正式挂牌披露前，向北京金时代小股东发出第一次《关于原股东行使优先购买权的征询函》，于2023年7月28日正式挂牌披露后，向北京金时代小股东发出第二次《关于原股东行使优先购买权的征询函》，于2023年8月31日挂牌期结束并征集到合格意向受让方后，向北京金时代小股东发出第三次《关于原股东行使优先购买权的征询函》，以上三次征询函均约定小股东需在收到我司征询函之日起30日内向北京产权交易所提交受让申请及交纳交易保证金，逾期未提交受让申请及交纳交易保证金的，视为放弃行使优先购买权。截止2023年10月1日，三次征询函约定时间均已逾期，小股东并未按照规定向提交受让申请及交纳交易保证金，视为自动放弃优先受让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rFonts w:hint="eastAsia"/>
                <w:b/>
              </w:rPr>
              <w:t>是否失信责任主体</w:t>
            </w:r>
          </w:p>
        </w:tc>
        <w:tc>
          <w:tcPr>
            <w:tcW w:w="3773" w:type="pct"/>
            <w:noWrap w:val="0"/>
            <w:vAlign w:val="center"/>
          </w:tcPr>
          <w:p>
            <w:pPr>
              <w:rPr>
                <w:rFonts w:hint="eastAsia" w:eastAsia="宋体"/>
                <w:lang w:val="en-US" w:eastAsia="zh-CN"/>
              </w:rPr>
            </w:pPr>
            <w:r>
              <w:rPr>
                <w:rFonts w:hint="eastAsia"/>
                <w:lang w:val="en-US" w:eastAsia="zh-CN"/>
              </w:rPr>
              <w:t>否</w:t>
            </w:r>
          </w:p>
        </w:tc>
      </w:tr>
    </w:tbl>
    <w:p>
      <w:pPr>
        <w:numPr>
          <w:ilvl w:val="0"/>
          <w:numId w:val="2"/>
        </w:numPr>
        <w:adjustRightInd w:val="0"/>
        <w:snapToGrid w:val="0"/>
        <w:spacing w:line="360" w:lineRule="auto"/>
        <w:ind w:firstLine="482" w:firstLineChars="200"/>
        <w:outlineLvl w:val="0"/>
        <w:rPr>
          <w:rFonts w:hint="eastAsia" w:ascii="Times New Roman" w:hAnsi="Times New Roman" w:cs="Times New Roman"/>
          <w:b/>
          <w:bCs w:val="0"/>
          <w:sz w:val="24"/>
          <w:szCs w:val="24"/>
          <w:lang w:val="en-US" w:eastAsia="zh-CN"/>
        </w:rPr>
      </w:pPr>
      <w:r>
        <w:rPr>
          <w:rFonts w:hint="eastAsia" w:ascii="Times New Roman" w:hAnsi="Times New Roman" w:cs="Times New Roman"/>
          <w:b/>
          <w:bCs w:val="0"/>
          <w:sz w:val="24"/>
          <w:szCs w:val="24"/>
          <w:lang w:val="en-US" w:eastAsia="zh-CN"/>
        </w:rPr>
        <w:t>主要财务数据</w:t>
      </w:r>
    </w:p>
    <w:p>
      <w:pPr>
        <w:numPr>
          <w:ilvl w:val="0"/>
          <w:numId w:val="0"/>
        </w:numPr>
        <w:adjustRightInd w:val="0"/>
        <w:snapToGrid w:val="0"/>
        <w:spacing w:line="360" w:lineRule="auto"/>
        <w:jc w:val="right"/>
        <w:outlineLvl w:val="0"/>
        <w:rPr>
          <w:rFonts w:hint="default" w:ascii="Times New Roman" w:hAnsi="Times New Roman" w:cs="Times New Roman"/>
          <w:b/>
          <w:bCs w:val="0"/>
          <w:sz w:val="18"/>
          <w:szCs w:val="18"/>
          <w:lang w:val="en-US" w:eastAsia="zh-CN"/>
        </w:rPr>
      </w:pPr>
      <w:r>
        <w:rPr>
          <w:rFonts w:hint="eastAsia" w:ascii="Times New Roman" w:hAnsi="Times New Roman" w:cs="Times New Roman"/>
          <w:b/>
          <w:bCs w:val="0"/>
          <w:sz w:val="18"/>
          <w:szCs w:val="18"/>
          <w:lang w:val="en-US" w:eastAsia="zh-CN"/>
        </w:rPr>
        <w:t>单位：万元</w:t>
      </w:r>
    </w:p>
    <w:tbl>
      <w:tblPr>
        <w:tblStyle w:val="11"/>
        <w:tblW w:w="853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3"/>
        <w:gridCol w:w="3188"/>
        <w:gridCol w:w="30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2323" w:type="dxa"/>
            <w:shd w:val="clear" w:color="auto" w:fill="D7D7D7"/>
            <w:noWrap/>
            <w:vAlign w:val="center"/>
          </w:tcPr>
          <w:p>
            <w:pPr>
              <w:widowControl/>
              <w:jc w:val="center"/>
              <w:rPr>
                <w:b/>
                <w:bCs/>
                <w:kern w:val="0"/>
                <w:szCs w:val="21"/>
              </w:rPr>
            </w:pPr>
            <w:r>
              <w:rPr>
                <w:b/>
                <w:bCs/>
                <w:kern w:val="0"/>
                <w:szCs w:val="21"/>
              </w:rPr>
              <w:t>财务指标</w:t>
            </w:r>
          </w:p>
        </w:tc>
        <w:tc>
          <w:tcPr>
            <w:tcW w:w="3188" w:type="dxa"/>
            <w:shd w:val="clear" w:color="auto" w:fill="D7D7D7"/>
            <w:noWrap/>
            <w:vAlign w:val="center"/>
          </w:tcPr>
          <w:p>
            <w:pPr>
              <w:widowControl/>
              <w:jc w:val="center"/>
              <w:rPr>
                <w:b/>
                <w:bCs/>
                <w:kern w:val="0"/>
                <w:szCs w:val="21"/>
              </w:rPr>
            </w:pPr>
            <w:r>
              <w:rPr>
                <w:b/>
                <w:bCs/>
                <w:kern w:val="0"/>
                <w:szCs w:val="21"/>
              </w:rPr>
              <w:t>2022年12月31日（经审计）</w:t>
            </w:r>
          </w:p>
        </w:tc>
        <w:tc>
          <w:tcPr>
            <w:tcW w:w="3025" w:type="dxa"/>
            <w:shd w:val="clear" w:color="auto" w:fill="D7D7D7"/>
            <w:noWrap/>
            <w:vAlign w:val="center"/>
          </w:tcPr>
          <w:p>
            <w:pPr>
              <w:widowControl/>
              <w:jc w:val="center"/>
              <w:rPr>
                <w:b/>
                <w:bCs/>
                <w:kern w:val="0"/>
                <w:szCs w:val="21"/>
              </w:rPr>
            </w:pPr>
            <w:r>
              <w:rPr>
                <w:b/>
                <w:bCs/>
                <w:kern w:val="0"/>
                <w:szCs w:val="21"/>
              </w:rPr>
              <w:t>2023年6月30日（未经审计）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资产总额</w:t>
            </w:r>
          </w:p>
        </w:tc>
        <w:tc>
          <w:tcPr>
            <w:tcW w:w="3188" w:type="dxa"/>
            <w:noWrap/>
            <w:vAlign w:val="center"/>
          </w:tcPr>
          <w:p>
            <w:pPr>
              <w:widowControl/>
              <w:jc w:val="right"/>
              <w:rPr>
                <w:kern w:val="0"/>
                <w:szCs w:val="21"/>
              </w:rPr>
            </w:pPr>
            <w:r>
              <w:rPr>
                <w:rFonts w:hint="eastAsia"/>
                <w:kern w:val="0"/>
                <w:szCs w:val="21"/>
              </w:rPr>
              <w:t>386.84</w:t>
            </w:r>
            <w:r>
              <w:rPr>
                <w:kern w:val="0"/>
                <w:szCs w:val="21"/>
              </w:rPr>
              <w:t xml:space="preserve"> </w:t>
            </w:r>
          </w:p>
        </w:tc>
        <w:tc>
          <w:tcPr>
            <w:tcW w:w="3025" w:type="dxa"/>
            <w:noWrap/>
            <w:vAlign w:val="center"/>
          </w:tcPr>
          <w:p>
            <w:pPr>
              <w:widowControl/>
              <w:jc w:val="right"/>
              <w:rPr>
                <w:kern w:val="0"/>
                <w:szCs w:val="21"/>
              </w:rPr>
            </w:pPr>
            <w:r>
              <w:rPr>
                <w:kern w:val="0"/>
                <w:szCs w:val="21"/>
              </w:rPr>
              <w:t xml:space="preserve">308.48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负债总额</w:t>
            </w:r>
          </w:p>
        </w:tc>
        <w:tc>
          <w:tcPr>
            <w:tcW w:w="3188" w:type="dxa"/>
            <w:noWrap/>
            <w:vAlign w:val="center"/>
          </w:tcPr>
          <w:p>
            <w:pPr>
              <w:widowControl/>
              <w:jc w:val="right"/>
              <w:rPr>
                <w:kern w:val="0"/>
                <w:szCs w:val="21"/>
              </w:rPr>
            </w:pPr>
            <w:r>
              <w:rPr>
                <w:rFonts w:hint="eastAsia"/>
                <w:kern w:val="0"/>
                <w:szCs w:val="21"/>
              </w:rPr>
              <w:t>2,784.61</w:t>
            </w:r>
            <w:r>
              <w:rPr>
                <w:kern w:val="0"/>
                <w:szCs w:val="21"/>
              </w:rPr>
              <w:t xml:space="preserve"> </w:t>
            </w:r>
          </w:p>
        </w:tc>
        <w:tc>
          <w:tcPr>
            <w:tcW w:w="3025" w:type="dxa"/>
            <w:noWrap/>
            <w:vAlign w:val="center"/>
          </w:tcPr>
          <w:p>
            <w:pPr>
              <w:widowControl/>
              <w:jc w:val="right"/>
              <w:rPr>
                <w:kern w:val="0"/>
                <w:szCs w:val="21"/>
              </w:rPr>
            </w:pPr>
            <w:r>
              <w:rPr>
                <w:kern w:val="0"/>
                <w:szCs w:val="21"/>
              </w:rPr>
              <w:t xml:space="preserve">2,854.55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净资产</w:t>
            </w:r>
          </w:p>
        </w:tc>
        <w:tc>
          <w:tcPr>
            <w:tcW w:w="3188" w:type="dxa"/>
            <w:noWrap/>
            <w:vAlign w:val="center"/>
          </w:tcPr>
          <w:p>
            <w:pPr>
              <w:widowControl/>
              <w:jc w:val="right"/>
              <w:rPr>
                <w:kern w:val="0"/>
                <w:szCs w:val="21"/>
              </w:rPr>
            </w:pPr>
            <w:r>
              <w:rPr>
                <w:kern w:val="0"/>
                <w:szCs w:val="21"/>
              </w:rPr>
              <w:t xml:space="preserve">-2,397.77 </w:t>
            </w:r>
          </w:p>
        </w:tc>
        <w:tc>
          <w:tcPr>
            <w:tcW w:w="3025" w:type="dxa"/>
            <w:noWrap/>
            <w:vAlign w:val="center"/>
          </w:tcPr>
          <w:p>
            <w:pPr>
              <w:widowControl/>
              <w:jc w:val="right"/>
              <w:rPr>
                <w:kern w:val="0"/>
                <w:szCs w:val="21"/>
              </w:rPr>
            </w:pPr>
            <w:r>
              <w:rPr>
                <w:kern w:val="0"/>
                <w:szCs w:val="21"/>
              </w:rPr>
              <w:t xml:space="preserve">-2,546.07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应收款项总额</w:t>
            </w:r>
          </w:p>
        </w:tc>
        <w:tc>
          <w:tcPr>
            <w:tcW w:w="3188" w:type="dxa"/>
            <w:noWrap/>
            <w:vAlign w:val="center"/>
          </w:tcPr>
          <w:p>
            <w:pPr>
              <w:widowControl/>
              <w:jc w:val="right"/>
              <w:rPr>
                <w:kern w:val="0"/>
                <w:szCs w:val="21"/>
              </w:rPr>
            </w:pPr>
            <w:r>
              <w:rPr>
                <w:kern w:val="0"/>
                <w:szCs w:val="21"/>
              </w:rPr>
              <w:t xml:space="preserve">210.43 </w:t>
            </w:r>
          </w:p>
        </w:tc>
        <w:tc>
          <w:tcPr>
            <w:tcW w:w="3025" w:type="dxa"/>
            <w:noWrap/>
            <w:vAlign w:val="center"/>
          </w:tcPr>
          <w:p>
            <w:pPr>
              <w:widowControl/>
              <w:jc w:val="right"/>
              <w:rPr>
                <w:kern w:val="0"/>
                <w:szCs w:val="21"/>
              </w:rPr>
            </w:pPr>
            <w:r>
              <w:rPr>
                <w:kern w:val="0"/>
                <w:szCs w:val="21"/>
              </w:rPr>
              <w:t xml:space="preserve">210.43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或有事项涉及的总额</w:t>
            </w:r>
          </w:p>
        </w:tc>
        <w:tc>
          <w:tcPr>
            <w:tcW w:w="3188" w:type="dxa"/>
            <w:noWrap/>
            <w:vAlign w:val="center"/>
          </w:tcPr>
          <w:p>
            <w:pPr>
              <w:widowControl/>
              <w:jc w:val="right"/>
              <w:rPr>
                <w:kern w:val="0"/>
                <w:szCs w:val="21"/>
              </w:rPr>
            </w:pPr>
            <w:r>
              <w:rPr>
                <w:kern w:val="0"/>
                <w:szCs w:val="21"/>
              </w:rPr>
              <w:t xml:space="preserve">0.00 </w:t>
            </w:r>
          </w:p>
        </w:tc>
        <w:tc>
          <w:tcPr>
            <w:tcW w:w="3025" w:type="dxa"/>
            <w:noWrap/>
            <w:vAlign w:val="center"/>
          </w:tcPr>
          <w:p>
            <w:pPr>
              <w:widowControl/>
              <w:jc w:val="right"/>
              <w:rPr>
                <w:kern w:val="0"/>
                <w:szCs w:val="21"/>
              </w:rPr>
            </w:pPr>
            <w:r>
              <w:rPr>
                <w:kern w:val="0"/>
                <w:szCs w:val="21"/>
              </w:rPr>
              <w:t xml:space="preserve">0.00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营业收入</w:t>
            </w:r>
          </w:p>
        </w:tc>
        <w:tc>
          <w:tcPr>
            <w:tcW w:w="3188" w:type="dxa"/>
            <w:noWrap/>
            <w:vAlign w:val="center"/>
          </w:tcPr>
          <w:p>
            <w:pPr>
              <w:widowControl/>
              <w:jc w:val="right"/>
              <w:rPr>
                <w:kern w:val="0"/>
                <w:szCs w:val="21"/>
              </w:rPr>
            </w:pPr>
            <w:r>
              <w:rPr>
                <w:kern w:val="0"/>
                <w:szCs w:val="21"/>
              </w:rPr>
              <w:t xml:space="preserve">0.00 </w:t>
            </w:r>
          </w:p>
        </w:tc>
        <w:tc>
          <w:tcPr>
            <w:tcW w:w="3025" w:type="dxa"/>
            <w:noWrap/>
            <w:vAlign w:val="center"/>
          </w:tcPr>
          <w:p>
            <w:pPr>
              <w:widowControl/>
              <w:jc w:val="right"/>
              <w:rPr>
                <w:kern w:val="0"/>
                <w:szCs w:val="21"/>
              </w:rPr>
            </w:pPr>
            <w:r>
              <w:rPr>
                <w:kern w:val="0"/>
                <w:szCs w:val="21"/>
              </w:rPr>
              <w:t xml:space="preserve">0.00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323" w:type="dxa"/>
            <w:noWrap/>
            <w:vAlign w:val="center"/>
          </w:tcPr>
          <w:p>
            <w:pPr>
              <w:widowControl/>
              <w:jc w:val="left"/>
              <w:rPr>
                <w:kern w:val="0"/>
                <w:szCs w:val="21"/>
              </w:rPr>
            </w:pPr>
            <w:r>
              <w:rPr>
                <w:kern w:val="0"/>
                <w:szCs w:val="21"/>
              </w:rPr>
              <w:t>营业利润</w:t>
            </w:r>
          </w:p>
        </w:tc>
        <w:tc>
          <w:tcPr>
            <w:tcW w:w="3188" w:type="dxa"/>
            <w:noWrap/>
            <w:vAlign w:val="center"/>
          </w:tcPr>
          <w:p>
            <w:pPr>
              <w:widowControl/>
              <w:jc w:val="right"/>
              <w:rPr>
                <w:kern w:val="0"/>
                <w:szCs w:val="21"/>
              </w:rPr>
            </w:pPr>
            <w:r>
              <w:rPr>
                <w:kern w:val="0"/>
                <w:szCs w:val="21"/>
              </w:rPr>
              <w:t xml:space="preserve">-392.63 </w:t>
            </w:r>
          </w:p>
        </w:tc>
        <w:tc>
          <w:tcPr>
            <w:tcW w:w="3025" w:type="dxa"/>
            <w:noWrap/>
            <w:vAlign w:val="center"/>
          </w:tcPr>
          <w:p>
            <w:pPr>
              <w:widowControl/>
              <w:jc w:val="right"/>
              <w:rPr>
                <w:kern w:val="0"/>
                <w:szCs w:val="21"/>
              </w:rPr>
            </w:pPr>
            <w:r>
              <w:rPr>
                <w:kern w:val="0"/>
                <w:szCs w:val="21"/>
              </w:rPr>
              <w:t xml:space="preserve">-148.30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净利润</w:t>
            </w:r>
          </w:p>
        </w:tc>
        <w:tc>
          <w:tcPr>
            <w:tcW w:w="3188" w:type="dxa"/>
            <w:noWrap/>
            <w:vAlign w:val="center"/>
          </w:tcPr>
          <w:p>
            <w:pPr>
              <w:widowControl/>
              <w:jc w:val="right"/>
              <w:rPr>
                <w:kern w:val="0"/>
                <w:szCs w:val="21"/>
              </w:rPr>
            </w:pPr>
            <w:r>
              <w:rPr>
                <w:kern w:val="0"/>
                <w:szCs w:val="21"/>
              </w:rPr>
              <w:t xml:space="preserve">-392.63 </w:t>
            </w:r>
          </w:p>
        </w:tc>
        <w:tc>
          <w:tcPr>
            <w:tcW w:w="3025" w:type="dxa"/>
            <w:noWrap/>
            <w:vAlign w:val="center"/>
          </w:tcPr>
          <w:p>
            <w:pPr>
              <w:widowControl/>
              <w:jc w:val="right"/>
              <w:rPr>
                <w:kern w:val="0"/>
                <w:szCs w:val="21"/>
              </w:rPr>
            </w:pPr>
            <w:r>
              <w:rPr>
                <w:kern w:val="0"/>
                <w:szCs w:val="21"/>
              </w:rPr>
              <w:t xml:space="preserve">-148.30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经营活动产生的现金流量净额</w:t>
            </w:r>
          </w:p>
        </w:tc>
        <w:tc>
          <w:tcPr>
            <w:tcW w:w="3188" w:type="dxa"/>
            <w:noWrap/>
            <w:vAlign w:val="center"/>
          </w:tcPr>
          <w:p>
            <w:pPr>
              <w:widowControl/>
              <w:jc w:val="right"/>
              <w:rPr>
                <w:kern w:val="0"/>
                <w:szCs w:val="21"/>
              </w:rPr>
            </w:pPr>
            <w:r>
              <w:rPr>
                <w:kern w:val="0"/>
                <w:szCs w:val="21"/>
              </w:rPr>
              <w:t xml:space="preserve">152.45 </w:t>
            </w:r>
          </w:p>
        </w:tc>
        <w:tc>
          <w:tcPr>
            <w:tcW w:w="3025" w:type="dxa"/>
            <w:noWrap/>
            <w:vAlign w:val="center"/>
          </w:tcPr>
          <w:p>
            <w:pPr>
              <w:widowControl/>
              <w:jc w:val="right"/>
              <w:rPr>
                <w:kern w:val="0"/>
                <w:szCs w:val="21"/>
              </w:rPr>
            </w:pPr>
            <w:r>
              <w:rPr>
                <w:kern w:val="0"/>
                <w:szCs w:val="21"/>
              </w:rPr>
              <w:t xml:space="preserve">-80.50 </w:t>
            </w:r>
          </w:p>
        </w:tc>
      </w:tr>
    </w:tbl>
    <w:p>
      <w:pPr>
        <w:adjustRightInd w:val="0"/>
        <w:snapToGrid w:val="0"/>
        <w:spacing w:line="360" w:lineRule="auto"/>
        <w:ind w:firstLine="482" w:firstLineChars="200"/>
        <w:outlineLvl w:val="0"/>
        <w:rPr>
          <w:rFonts w:hint="default" w:ascii="Times New Roman" w:hAnsi="Times New Roman" w:cs="Times New Roman"/>
          <w:b/>
          <w:bCs w:val="0"/>
          <w:sz w:val="24"/>
          <w:szCs w:val="24"/>
          <w:lang w:val="en-US" w:eastAsia="zh-CN"/>
        </w:rPr>
      </w:pPr>
      <w:r>
        <w:rPr>
          <w:rFonts w:hint="eastAsia" w:ascii="Times New Roman" w:hAnsi="Times New Roman" w:cs="Times New Roman"/>
          <w:b/>
          <w:bCs w:val="0"/>
          <w:sz w:val="24"/>
          <w:szCs w:val="24"/>
          <w:lang w:val="en-US" w:eastAsia="zh-CN"/>
        </w:rPr>
        <w:t>（三）评估情况</w:t>
      </w:r>
    </w:p>
    <w:p>
      <w:p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根据北京中企华资产评估有限责任公司出具的评估报告，采用资产基础法于评估基准日2022年8月31日，北京金时代总资产账面价值为317.99万元，评估价值为320.45万元，评估增值2.46万元，增值率0.77%；总负债账面价值为2,664.79万元，评估价值为2,664.79万元，评估无增减值；净资产账面价值为-2,346.80万元，净资产评估价值为-2,344.34万元，增值额为2.46万元，增值率为0.10%。</w:t>
      </w:r>
    </w:p>
    <w:p>
      <w:pPr>
        <w:adjustRightInd w:val="0"/>
        <w:snapToGrid w:val="0"/>
        <w:spacing w:line="360" w:lineRule="auto"/>
        <w:ind w:firstLine="482" w:firstLineChars="200"/>
        <w:outlineLvl w:val="0"/>
        <w:rPr>
          <w:rFonts w:hint="default" w:ascii="Times New Roman" w:hAnsi="Times New Roman" w:cs="Times New Roman"/>
          <w:b/>
          <w:bCs w:val="0"/>
          <w:sz w:val="24"/>
          <w:szCs w:val="24"/>
          <w:lang w:val="en-US" w:eastAsia="zh-CN"/>
        </w:rPr>
      </w:pPr>
      <w:r>
        <w:rPr>
          <w:rFonts w:hint="eastAsia" w:ascii="Times New Roman" w:hAnsi="Times New Roman" w:cs="Times New Roman"/>
          <w:b/>
          <w:bCs w:val="0"/>
          <w:sz w:val="24"/>
          <w:szCs w:val="24"/>
          <w:lang w:val="en-US" w:eastAsia="zh-CN"/>
        </w:rPr>
        <w:t>（四）应收债权情况</w:t>
      </w:r>
    </w:p>
    <w:p>
      <w:p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交易前，公司及子公司应收北京金时代债权挂牌价格为2,023.7929万元，其中公司对北京金时代债权为人民币873.7929万元，公司控股子公司大连国合汇邦房地产投资管理有限公司对北京金时代债权为1,150.00万元。</w:t>
      </w:r>
    </w:p>
    <w:p>
      <w:pPr>
        <w:adjustRightInd w:val="0"/>
        <w:snapToGrid w:val="0"/>
        <w:spacing w:line="360" w:lineRule="auto"/>
        <w:ind w:firstLine="482" w:firstLineChars="200"/>
        <w:outlineLvl w:val="0"/>
        <w:rPr>
          <w:rFonts w:hint="default" w:ascii="Times New Roman" w:hAnsi="Times New Roman" w:cs="Times New Roman"/>
          <w:b/>
          <w:bCs w:val="0"/>
          <w:sz w:val="24"/>
          <w:szCs w:val="24"/>
          <w:lang w:val="en-US" w:eastAsia="zh-CN"/>
        </w:rPr>
      </w:pPr>
      <w:r>
        <w:rPr>
          <w:rFonts w:hint="eastAsia" w:ascii="Times New Roman" w:hAnsi="Times New Roman" w:cs="Times New Roman"/>
          <w:b/>
          <w:bCs w:val="0"/>
          <w:sz w:val="24"/>
          <w:szCs w:val="24"/>
          <w:lang w:val="en-US" w:eastAsia="zh-CN"/>
        </w:rPr>
        <w:t>（五）其它说明</w:t>
      </w:r>
    </w:p>
    <w:p>
      <w:p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1、北京金时代82%股权和公司及子公司应收北京金时代债权不存在抵押、质押或者其他第三人权利、不存在涉及有关资产的重大争议、诉讼或仲裁事项、不存在查封、冻结等司法措施。</w:t>
      </w:r>
    </w:p>
    <w:p>
      <w:p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2、2001年12月16日，北京金时代与北京木材防腐厂签署《房屋买卖合同》《房屋买卖补充协议》，约定北京木材防腐厂将部分自有房屋及房屋占用范围内的土地使用权（划拨方式取得）转让给北京金时代，房屋坐落在北京市朝阳区建国路八里桥（铁道部北京木材防腐厂宿舍院），即朝阳区八里桥南里1号院内。上述土地使用权所在宗地总面积为46058.29㎡，由北京金时代与宗地内部分居民（原北京木材防腐厂已完成房改房的职工）共同使用，其中北京金时代享有使用权的面积为18497.79㎡（即京朝国用（2004）出第0492号土地使用权证对应面积），剩余27560.5㎡由原北京木材防腐厂已完成房改房的职工使用。宗地上建筑物面积合计36461.00㎡，其中北京金时代享有所有权的房屋建筑面积为12418.75㎡，剩余24042.25㎡为原北京木材防腐厂已完成房改房的职工住房。</w:t>
      </w:r>
    </w:p>
    <w:p>
      <w:pPr>
        <w:adjustRightInd w:val="0"/>
        <w:snapToGrid w:val="0"/>
        <w:spacing w:line="360" w:lineRule="auto"/>
        <w:ind w:firstLine="480" w:firstLineChars="200"/>
        <w:outlineLvl w:val="0"/>
        <w:rPr>
          <w:rFonts w:hint="eastAsia" w:ascii="Times New Roman" w:hAnsi="Times New Roman" w:eastAsia="宋体" w:cs="Times New Roman"/>
          <w:b w:val="0"/>
          <w:bCs/>
          <w:sz w:val="24"/>
          <w:szCs w:val="24"/>
          <w:lang w:val="en-US" w:eastAsia="zh-CN"/>
        </w:rPr>
      </w:pPr>
      <w:r>
        <w:rPr>
          <w:rFonts w:hint="eastAsia" w:ascii="Times New Roman" w:hAnsi="Times New Roman" w:eastAsia="宋体" w:cs="Times New Roman"/>
          <w:b w:val="0"/>
          <w:bCs/>
          <w:sz w:val="24"/>
          <w:szCs w:val="24"/>
          <w:lang w:val="en-US" w:eastAsia="zh-CN"/>
        </w:rPr>
        <w:t>根据北京金时代取得该部分房产时签订的相关协议约定，</w:t>
      </w:r>
      <w:r>
        <w:rPr>
          <w:rFonts w:hint="eastAsia" w:ascii="Times New Roman" w:hAnsi="Times New Roman" w:cs="Times New Roman"/>
          <w:b w:val="0"/>
          <w:bCs/>
          <w:sz w:val="24"/>
          <w:szCs w:val="24"/>
          <w:lang w:val="en-US" w:eastAsia="zh-CN"/>
        </w:rPr>
        <w:t>北京</w:t>
      </w:r>
      <w:r>
        <w:rPr>
          <w:rFonts w:hint="eastAsia" w:ascii="Times New Roman" w:hAnsi="Times New Roman" w:eastAsia="宋体" w:cs="Times New Roman"/>
          <w:b w:val="0"/>
          <w:bCs/>
          <w:sz w:val="24"/>
          <w:szCs w:val="24"/>
          <w:lang w:val="en-US" w:eastAsia="zh-CN"/>
        </w:rPr>
        <w:t>金时代负责八里桥南里一号院住宅区的全部物业管理工作，并承担出租人的全部责任和义务同时承担的小区的维护、改造和修理费用。作为北京金时代的股东和实际控制人中广核技对此约定的义务和责任提供保证担保，即在北京金时代注销、破产、资不抵债以及有其他无法履行或者不履行相关义务和责任的情形下，公司承诺代其履行；在公司将其所持北京金时代的股权转让后，保证受让股权的一方继续承担上述保证。</w:t>
      </w:r>
    </w:p>
    <w:p>
      <w:pPr>
        <w:adjustRightInd w:val="0"/>
        <w:snapToGrid w:val="0"/>
        <w:spacing w:line="360" w:lineRule="auto"/>
        <w:ind w:firstLine="480" w:firstLineChars="200"/>
        <w:outlineLvl w:val="0"/>
        <w:rPr>
          <w:rFonts w:hint="eastAsia" w:ascii="Times New Roman" w:hAnsi="Times New Roman" w:eastAsia="宋体" w:cs="Times New Roman"/>
          <w:b w:val="0"/>
          <w:bCs/>
          <w:sz w:val="24"/>
          <w:szCs w:val="24"/>
          <w:lang w:val="en-US" w:eastAsia="zh-CN"/>
        </w:rPr>
      </w:pPr>
      <w:r>
        <w:rPr>
          <w:rFonts w:hint="eastAsia" w:ascii="Times New Roman" w:hAnsi="Times New Roman" w:eastAsia="宋体" w:cs="Times New Roman"/>
          <w:b w:val="0"/>
          <w:bCs/>
          <w:sz w:val="24"/>
          <w:szCs w:val="24"/>
          <w:lang w:val="en-US" w:eastAsia="zh-CN"/>
        </w:rPr>
        <w:t>从房屋实际状态来看，除部分倒塌房屋及物业配套用房外，剩余房屋北京金时代并未实现实际占有和使用，房屋一直由相关住户实际控制并居住，且大部分住户并未按时、足额支付租金，北京金时代未取得房屋租赁对应收益；此外，北京金时代须按照原协议承担物业管理费、水电费及房屋、设施维修维护等费用。</w:t>
      </w:r>
    </w:p>
    <w:p>
      <w:p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考虑到《关于2001年向职工出售公有住宅楼房的价格及有关政策的通知》和《关于2003年向职工出售公有住房的价格及政策通知》文件有效，北京中企华资产评估有限责任公司评估人员参照了该文件中关于向职工出售共有住房的限价标准进行了价格测算，计算得出的房产价值远低于需要承担的物业及维护改造费用。综上，北京金时代虽名义上拥有上述房产产权，但无净收益，因此评估值为零。</w:t>
      </w:r>
    </w:p>
    <w:p>
      <w:pPr>
        <w:adjustRightInd w:val="0"/>
        <w:snapToGrid w:val="0"/>
        <w:spacing w:line="360" w:lineRule="auto"/>
        <w:ind w:firstLine="480" w:firstLineChars="200"/>
        <w:outlineLvl w:val="0"/>
        <w:rPr>
          <w:rFonts w:hint="eastAsia" w:ascii="Times New Roman" w:hAnsi="Times New Roman" w:eastAsia="宋体" w:cs="Times New Roman"/>
          <w:b w:val="0"/>
          <w:bCs/>
          <w:sz w:val="24"/>
          <w:szCs w:val="24"/>
          <w:lang w:val="en-US" w:eastAsia="zh-CN"/>
        </w:rPr>
      </w:pPr>
      <w:r>
        <w:rPr>
          <w:rFonts w:hint="eastAsia" w:ascii="Times New Roman" w:hAnsi="Times New Roman" w:cs="Times New Roman"/>
          <w:b w:val="0"/>
          <w:bCs/>
          <w:sz w:val="24"/>
          <w:szCs w:val="24"/>
          <w:lang w:val="en-US" w:eastAsia="zh-CN"/>
        </w:rPr>
        <w:t>本次《产权交易合同》生效后</w:t>
      </w:r>
      <w:r>
        <w:rPr>
          <w:rFonts w:hint="eastAsia" w:ascii="宋体" w:hAnsi="宋体"/>
          <w:sz w:val="24"/>
        </w:rPr>
        <w:t>相关保证责任均由普瑞恒得公司承继，中广核技不再承担任何责任</w:t>
      </w:r>
      <w:r>
        <w:rPr>
          <w:rFonts w:hint="eastAsia" w:ascii="宋体" w:hAnsi="宋体"/>
          <w:sz w:val="24"/>
          <w:lang w:eastAsia="zh-CN"/>
        </w:rPr>
        <w:t>。</w:t>
      </w:r>
    </w:p>
    <w:p>
      <w:p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3、本次交易完成后，公司不存在为出售股权的标的公司提供担保、财务资助、委托该标的公司理财，以及其他该标的公司占用公司资金的情况。亦不存在以经营性资金往来的形式变相为他人提供财务资助情形。</w:t>
      </w:r>
    </w:p>
    <w:p>
      <w:pPr>
        <w:adjustRightInd w:val="0"/>
        <w:snapToGrid w:val="0"/>
        <w:spacing w:line="360" w:lineRule="auto"/>
        <w:ind w:firstLine="482" w:firstLineChars="200"/>
        <w:outlineLvl w:val="0"/>
        <w:rPr>
          <w:rFonts w:hint="default" w:ascii="Times New Roman" w:hAnsi="Times New Roman" w:cs="Times New Roman"/>
          <w:b/>
          <w:bCs w:val="0"/>
          <w:sz w:val="24"/>
          <w:szCs w:val="24"/>
          <w:lang w:val="en-US" w:eastAsia="zh-CN"/>
        </w:rPr>
      </w:pPr>
      <w:r>
        <w:rPr>
          <w:rFonts w:hint="eastAsia" w:ascii="Times New Roman" w:hAnsi="Times New Roman" w:cs="Times New Roman"/>
          <w:b/>
          <w:bCs w:val="0"/>
          <w:sz w:val="24"/>
          <w:szCs w:val="24"/>
          <w:lang w:val="en-US" w:eastAsia="zh-CN"/>
        </w:rPr>
        <w:t>四、交易协议的主要内容</w:t>
      </w:r>
    </w:p>
    <w:p>
      <w:pPr>
        <w:adjustRightInd w:val="0"/>
        <w:snapToGrid w:val="0"/>
        <w:spacing w:line="360" w:lineRule="auto"/>
        <w:ind w:firstLine="482" w:firstLineChars="200"/>
        <w:outlineLvl w:val="0"/>
        <w:rPr>
          <w:rFonts w:hint="eastAsia" w:ascii="Times New Roman" w:hAnsi="Times New Roman" w:cs="Times New Roman"/>
          <w:b/>
          <w:bCs w:val="0"/>
          <w:sz w:val="24"/>
          <w:szCs w:val="24"/>
          <w:lang w:val="en-US" w:eastAsia="zh-CN"/>
        </w:rPr>
      </w:pPr>
      <w:r>
        <w:rPr>
          <w:rFonts w:hint="eastAsia" w:ascii="Times New Roman" w:hAnsi="Times New Roman" w:cs="Times New Roman"/>
          <w:b/>
          <w:bCs w:val="0"/>
          <w:sz w:val="24"/>
          <w:szCs w:val="24"/>
          <w:lang w:val="en-US" w:eastAsia="zh-CN"/>
        </w:rPr>
        <w:t>1、产权转让价款及支付</w:t>
      </w:r>
    </w:p>
    <w:p>
      <w:p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项目转让价格为人民币2023.7930万元，其中：北京金时代置业有限公司82%股权的挂牌价格为人民币0.0001万元；债权挂牌价格为2023.7929万元，其中中广核技对标的公司债权为人民币873.7929万元，中广核技关联方大连国合汇邦房地产投资管理有限公司对标的公司债权为1150.00万元。根据一次报价结果，中广核技将本合同项下转让标的以人民币20,237,930.00元转让给普瑞恒得公司。</w:t>
      </w:r>
    </w:p>
    <w:p>
      <w:p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普瑞恒得公司采用一次性付款方式，将转让价款在本合同生效后5个工作日内汇入北交所指定的结算账户。</w:t>
      </w:r>
    </w:p>
    <w:p>
      <w:pPr>
        <w:numPr>
          <w:ilvl w:val="0"/>
          <w:numId w:val="0"/>
        </w:numPr>
        <w:adjustRightInd w:val="0"/>
        <w:snapToGrid w:val="0"/>
        <w:spacing w:line="360" w:lineRule="auto"/>
        <w:ind w:firstLine="482" w:firstLineChars="200"/>
        <w:outlineLvl w:val="0"/>
        <w:rPr>
          <w:rFonts w:hint="eastAsia" w:ascii="Times New Roman" w:hAnsi="Times New Roman" w:cs="Times New Roman"/>
          <w:b/>
          <w:bCs w:val="0"/>
          <w:sz w:val="24"/>
          <w:szCs w:val="24"/>
          <w:lang w:val="en-US" w:eastAsia="zh-CN"/>
        </w:rPr>
      </w:pPr>
      <w:r>
        <w:rPr>
          <w:rFonts w:hint="eastAsia" w:ascii="Times New Roman" w:hAnsi="Times New Roman" w:cs="Times New Roman"/>
          <w:b/>
          <w:bCs w:val="0"/>
          <w:sz w:val="24"/>
          <w:szCs w:val="24"/>
          <w:lang w:val="en-US" w:eastAsia="zh-CN"/>
        </w:rPr>
        <w:t>2、产权转让的交割事项</w:t>
      </w:r>
    </w:p>
    <w:p>
      <w:pPr>
        <w:numPr>
          <w:ilvl w:val="0"/>
          <w:numId w:val="0"/>
        </w:num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本合同项下的产权交易获得北交所出具的产权交易凭证后20个工作日内，双方应完成标的企业办理股权变更登记手续。</w:t>
      </w:r>
    </w:p>
    <w:p>
      <w:pPr>
        <w:numPr>
          <w:ilvl w:val="0"/>
          <w:numId w:val="0"/>
        </w:numPr>
        <w:adjustRightInd w:val="0"/>
        <w:snapToGrid w:val="0"/>
        <w:spacing w:line="360" w:lineRule="auto"/>
        <w:ind w:firstLine="482" w:firstLineChars="200"/>
        <w:outlineLvl w:val="0"/>
        <w:rPr>
          <w:rFonts w:hint="default" w:ascii="Times New Roman" w:hAnsi="Times New Roman" w:cs="Times New Roman"/>
          <w:b/>
          <w:bCs w:val="0"/>
          <w:sz w:val="24"/>
          <w:szCs w:val="24"/>
          <w:lang w:val="en-US" w:eastAsia="zh-CN"/>
        </w:rPr>
      </w:pPr>
      <w:r>
        <w:rPr>
          <w:rFonts w:hint="eastAsia" w:ascii="Times New Roman" w:hAnsi="Times New Roman" w:cs="Times New Roman"/>
          <w:b/>
          <w:bCs w:val="0"/>
          <w:sz w:val="24"/>
          <w:szCs w:val="24"/>
          <w:lang w:val="en-US" w:eastAsia="zh-CN"/>
        </w:rPr>
        <w:t>3、声明与保证</w:t>
      </w:r>
    </w:p>
    <w:p>
      <w:pPr>
        <w:numPr>
          <w:ilvl w:val="0"/>
          <w:numId w:val="0"/>
        </w:num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中广核技对本合同项下的转让标的拥有合法、有效和完整的处分权；为签订本合同之目的向普瑞恒得公司及北交所提交的各项证明文件及资料均为真实、准确、完整的；签订本合同所需的包括授权、审批、公司内部决策等在内的一切手续均已合法有效取得；转让标的未设置任何可能影响产权转让的担保或限制。</w:t>
      </w:r>
    </w:p>
    <w:p>
      <w:pPr>
        <w:numPr>
          <w:ilvl w:val="0"/>
          <w:numId w:val="0"/>
        </w:num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普瑞恒得公司受让本合同项下转让标的符合法律、法规的规定，并不违背中国境内的产业政策；为签订本合同之目的向中广核技及北交所提交的各项证明文件及资料均为真实、准确、完整的；签订本合同所需的包括授权、审批、公司内部决策等在内的一切批准手续均已合法有效取得；除本次普瑞恒得公司代标的企业偿还的欠付中广核技及中广核技关联方合计2023.7929万元债务外，标的企业原有的债权债务将由标的企业继续履行；普瑞恒得公司确认并承诺：普瑞恒得公司对朝阳区八里桥南里1号院土地房产情况完全了解并知悉。本协议生效后，关于评估范围中的朝阳区八里桥南里1号院家属区住宅的所有协议将由标的企业继续履行；本协议生效后，《土地使用权调配协议书》《关于北京木材防腐厂国有土地使用权转让等协议履行事宜的协议书》《关于北京市朝阳区八里桥南里1号院住宅区房屋改造有关事宜协议》等协议约定的中广核技相关保证责任均由普瑞恒得公司承继，中广核技不再承担任何责任；本协议生效后，普瑞恒得公司及标的企业不得再基于朝阳区八里桥南里1号院土地房产相关事宜向中广核技或中广核技关联方主张任何权利或要求承担任何责任。</w:t>
      </w:r>
    </w:p>
    <w:p>
      <w:pPr>
        <w:numPr>
          <w:ilvl w:val="0"/>
          <w:numId w:val="0"/>
        </w:numPr>
        <w:adjustRightInd w:val="0"/>
        <w:snapToGrid w:val="0"/>
        <w:spacing w:line="360" w:lineRule="auto"/>
        <w:ind w:firstLine="482" w:firstLineChars="200"/>
        <w:outlineLvl w:val="0"/>
        <w:rPr>
          <w:rFonts w:hint="default" w:ascii="Times New Roman" w:hAnsi="Times New Roman" w:cs="Times New Roman"/>
          <w:b/>
          <w:bCs w:val="0"/>
          <w:sz w:val="24"/>
          <w:szCs w:val="24"/>
          <w:lang w:val="en-US" w:eastAsia="zh-CN"/>
        </w:rPr>
      </w:pPr>
      <w:r>
        <w:rPr>
          <w:rFonts w:hint="eastAsia" w:ascii="Times New Roman" w:hAnsi="Times New Roman" w:cs="Times New Roman"/>
          <w:b/>
          <w:bCs w:val="0"/>
          <w:sz w:val="24"/>
          <w:szCs w:val="24"/>
          <w:lang w:val="en-US" w:eastAsia="zh-CN"/>
        </w:rPr>
        <w:t>4、违约责任</w:t>
      </w:r>
    </w:p>
    <w:p>
      <w:pPr>
        <w:numPr>
          <w:ilvl w:val="0"/>
          <w:numId w:val="0"/>
        </w:num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本合同生效后，任何一方无故提出解除合同，均应按照本合同转让价款的30%向对方一次性支付违约金，给对方造成损失的，还应承担赔偿责任。</w:t>
      </w:r>
    </w:p>
    <w:p>
      <w:pPr>
        <w:numPr>
          <w:ilvl w:val="0"/>
          <w:numId w:val="0"/>
        </w:num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 xml:space="preserve">普瑞恒得公司未按合同约定期限支付转让价款的，应向中广核技支付逾期付款违约金。违约金按照延迟支付期间应付未付价款的每日万分之三计算。逾期付款超过30日，中广核技有权解除合同并要求扣除普瑞恒得公司支付的保证金，扣除的保证金首先用于支付北交所应收取的各项服务费，剩余款项作为对中广核技的赔偿，不足以弥补中广核技损失的，中广核技可继续向普瑞恒得公司追偿。 </w:t>
      </w:r>
    </w:p>
    <w:p>
      <w:pPr>
        <w:numPr>
          <w:ilvl w:val="0"/>
          <w:numId w:val="0"/>
        </w:num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普瑞恒得公司及标的企业违反6.3条约定的（普瑞恒得公司应当在获得北交所出具的产权交易凭证后30个工作日内，办理标的企业名称变更登记，并承诺不继续使用“中国广核集团”、“中广核”相关字号、经营资质和特许经营权等无形资产，不继续使用中国广核集团的商标及标识，不继续以国家出资企业子企业名义开展经营活动），应当在收到中广核技通知后5个工作日内改正，且普瑞恒得公司应当按照本合同转让价款总额的30%向中广核技支付违约金。</w:t>
      </w:r>
    </w:p>
    <w:p>
      <w:pPr>
        <w:numPr>
          <w:ilvl w:val="0"/>
          <w:numId w:val="0"/>
        </w:num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若因中广核技或普瑞恒得公司违反本协议项下的义务或声明与保证，导致对方被任何第三方提出索赔或其他权利主张，各方因此遭受的全部损失有权向对方追偿。</w:t>
      </w:r>
    </w:p>
    <w:p>
      <w:pPr>
        <w:numPr>
          <w:ilvl w:val="0"/>
          <w:numId w:val="0"/>
        </w:num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有关本合同的解释或履行，当事人之间发生争议的，应由双方协商解决；协商解决不成的，提交北京仲裁委员会仲裁。</w:t>
      </w:r>
    </w:p>
    <w:p>
      <w:pPr>
        <w:numPr>
          <w:ilvl w:val="0"/>
          <w:numId w:val="0"/>
        </w:numPr>
        <w:adjustRightInd w:val="0"/>
        <w:snapToGrid w:val="0"/>
        <w:spacing w:line="360" w:lineRule="auto"/>
        <w:ind w:firstLine="482" w:firstLineChars="200"/>
        <w:outlineLvl w:val="0"/>
        <w:rPr>
          <w:rFonts w:hint="default" w:ascii="Times New Roman" w:hAnsi="Times New Roman" w:eastAsia="宋体" w:cs="Times New Roman"/>
          <w:b/>
          <w:bCs w:val="0"/>
          <w:sz w:val="24"/>
          <w:szCs w:val="24"/>
          <w:lang w:val="en-US" w:eastAsia="zh-CN"/>
        </w:rPr>
      </w:pPr>
      <w:r>
        <w:rPr>
          <w:rFonts w:hint="eastAsia" w:ascii="Times New Roman" w:hAnsi="Times New Roman" w:eastAsia="宋体" w:cs="Times New Roman"/>
          <w:b/>
          <w:bCs w:val="0"/>
          <w:sz w:val="24"/>
          <w:szCs w:val="24"/>
          <w:lang w:val="en-US" w:eastAsia="zh-CN"/>
        </w:rPr>
        <w:t>5、合同生效</w:t>
      </w:r>
    </w:p>
    <w:p>
      <w:pPr>
        <w:numPr>
          <w:ilvl w:val="0"/>
          <w:numId w:val="0"/>
        </w:numPr>
        <w:adjustRightInd w:val="0"/>
        <w:snapToGrid w:val="0"/>
        <w:spacing w:line="360" w:lineRule="auto"/>
        <w:ind w:firstLine="480" w:firstLineChars="200"/>
        <w:outlineLvl w:val="0"/>
        <w:rPr>
          <w:rFonts w:hint="default" w:ascii="Times New Roman" w:hAnsi="Times New Roman" w:cs="Times New Roman"/>
          <w:b/>
          <w:bCs w:val="0"/>
          <w:sz w:val="24"/>
          <w:szCs w:val="24"/>
          <w:lang w:val="en-US" w:eastAsia="zh-CN"/>
        </w:rPr>
      </w:pPr>
      <w:r>
        <w:rPr>
          <w:rFonts w:hint="eastAsia" w:ascii="Times New Roman" w:hAnsi="Times New Roman" w:cs="Times New Roman"/>
          <w:b w:val="0"/>
          <w:bCs/>
          <w:sz w:val="24"/>
          <w:szCs w:val="24"/>
          <w:lang w:val="en-US" w:eastAsia="zh-CN"/>
        </w:rPr>
        <w:t>除需要依据法律、行政法规规定报审批机构批准后才能生效的情况以外，本合同自双方盖章且法定代表人或授权代表签字之日起生效。</w:t>
      </w:r>
    </w:p>
    <w:p>
      <w:pPr>
        <w:adjustRightInd w:val="0"/>
        <w:snapToGrid w:val="0"/>
        <w:spacing w:line="360" w:lineRule="auto"/>
        <w:ind w:firstLine="482" w:firstLineChars="200"/>
        <w:outlineLvl w:val="0"/>
        <w:rPr>
          <w:rFonts w:hint="eastAsia" w:ascii="Times New Roman" w:hAnsi="Times New Roman" w:eastAsia="宋体" w:cs="Times New Roman"/>
          <w:b/>
          <w:sz w:val="24"/>
          <w:szCs w:val="24"/>
          <w:lang w:val="en-US" w:eastAsia="zh-CN"/>
        </w:rPr>
      </w:pPr>
      <w:r>
        <w:rPr>
          <w:rFonts w:hint="eastAsia" w:ascii="Times New Roman" w:hAnsi="Times New Roman" w:cs="Times New Roman"/>
          <w:b/>
          <w:sz w:val="24"/>
          <w:szCs w:val="24"/>
          <w:lang w:val="en-US" w:eastAsia="zh-CN"/>
        </w:rPr>
        <w:t>五、出售资产的目的和对公司的影响</w:t>
      </w:r>
    </w:p>
    <w:p>
      <w:pPr>
        <w:adjustRightInd w:val="0"/>
        <w:snapToGrid w:val="0"/>
        <w:spacing w:line="360" w:lineRule="auto"/>
        <w:ind w:firstLine="480" w:firstLineChars="200"/>
        <w:outlineLvl w:val="0"/>
        <w:rPr>
          <w:rFonts w:hint="default"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北京金时代系公司持股82%的控股子公司，主要从事房地产开发、商品房销售、房屋租赁等业务。由于北京金时代连续多年亏损，目前已资不抵债，为进一步</w:t>
      </w:r>
      <w:r>
        <w:rPr>
          <w:rFonts w:hint="default" w:ascii="Times New Roman" w:hAnsi="Times New Roman" w:cs="Times New Roman"/>
          <w:b w:val="0"/>
          <w:bCs/>
          <w:sz w:val="24"/>
          <w:szCs w:val="24"/>
        </w:rPr>
        <w:t>聚焦非动力核技术应用主业</w:t>
      </w:r>
      <w:r>
        <w:rPr>
          <w:rFonts w:hint="eastAsia" w:ascii="Times New Roman" w:hAnsi="Times New Roman" w:cs="Times New Roman"/>
          <w:b w:val="0"/>
          <w:bCs/>
          <w:sz w:val="24"/>
          <w:szCs w:val="24"/>
          <w:lang w:eastAsia="zh-CN"/>
        </w:rPr>
        <w:t>，</w:t>
      </w:r>
      <w:r>
        <w:rPr>
          <w:rFonts w:hint="eastAsia" w:ascii="Times New Roman" w:hAnsi="Times New Roman" w:cs="Times New Roman"/>
          <w:b w:val="0"/>
          <w:bCs/>
          <w:sz w:val="24"/>
          <w:szCs w:val="24"/>
          <w:lang w:val="en-US" w:eastAsia="zh-CN"/>
        </w:rPr>
        <w:t>公司将所持股权及相关债权对外挂牌转让。预计北京金时代的出售对归属于上市公司股东的净利润的影响金额为2,190.51万元。以上数据未经审计，本次交易对公司的最终影响金额以年度会计师审计报告为准。</w:t>
      </w:r>
    </w:p>
    <w:p>
      <w:pPr>
        <w:adjustRightInd w:val="0"/>
        <w:snapToGrid w:val="0"/>
        <w:spacing w:line="360" w:lineRule="auto"/>
        <w:ind w:firstLine="482" w:firstLineChars="200"/>
        <w:outlineLvl w:val="0"/>
        <w:rPr>
          <w:rFonts w:hint="default" w:ascii="Times New Roman" w:hAnsi="Times New Roman" w:cs="Times New Roman"/>
          <w:b/>
          <w:bCs w:val="0"/>
          <w:sz w:val="24"/>
          <w:szCs w:val="24"/>
          <w:highlight w:val="none"/>
          <w:lang w:val="en-US" w:eastAsia="zh-CN"/>
        </w:rPr>
      </w:pPr>
      <w:r>
        <w:rPr>
          <w:rFonts w:hint="eastAsia" w:ascii="Times New Roman" w:hAnsi="Times New Roman" w:cs="Times New Roman"/>
          <w:b/>
          <w:bCs w:val="0"/>
          <w:sz w:val="24"/>
          <w:szCs w:val="24"/>
          <w:highlight w:val="none"/>
          <w:lang w:val="en-US" w:eastAsia="zh-CN"/>
        </w:rPr>
        <w:t>六、备查文件</w:t>
      </w:r>
    </w:p>
    <w:p>
      <w:pPr>
        <w:adjustRightInd w:val="0"/>
        <w:snapToGrid w:val="0"/>
        <w:spacing w:line="360" w:lineRule="auto"/>
        <w:ind w:firstLine="480" w:firstLineChars="200"/>
        <w:outlineLvl w:val="0"/>
        <w:rPr>
          <w:rFonts w:hint="eastAsia" w:ascii="Times New Roman" w:hAnsi="Times New Roman" w:cs="Times New Roman"/>
          <w:b w:val="0"/>
          <w:bCs/>
          <w:sz w:val="24"/>
          <w:szCs w:val="24"/>
          <w:highlight w:val="none"/>
          <w:lang w:val="en-US" w:eastAsia="zh-CN"/>
        </w:rPr>
      </w:pPr>
      <w:r>
        <w:rPr>
          <w:rFonts w:hint="eastAsia" w:ascii="Times New Roman" w:hAnsi="Times New Roman" w:cs="Times New Roman"/>
          <w:b w:val="0"/>
          <w:bCs/>
          <w:sz w:val="24"/>
          <w:szCs w:val="24"/>
          <w:highlight w:val="none"/>
          <w:lang w:val="en-US" w:eastAsia="zh-CN"/>
        </w:rPr>
        <w:t>1、董事会决议；</w:t>
      </w:r>
    </w:p>
    <w:p>
      <w:pPr>
        <w:adjustRightInd w:val="0"/>
        <w:snapToGrid w:val="0"/>
        <w:spacing w:line="360" w:lineRule="auto"/>
        <w:ind w:firstLine="480" w:firstLineChars="200"/>
        <w:outlineLvl w:val="0"/>
        <w:rPr>
          <w:rFonts w:hint="eastAsia" w:ascii="Times New Roman" w:hAnsi="Times New Roman" w:cs="Times New Roman"/>
          <w:b w:val="0"/>
          <w:bCs/>
          <w:sz w:val="24"/>
          <w:szCs w:val="24"/>
          <w:highlight w:val="none"/>
          <w:lang w:val="en-US" w:eastAsia="zh-CN"/>
        </w:rPr>
      </w:pPr>
      <w:r>
        <w:rPr>
          <w:rFonts w:hint="eastAsia" w:ascii="Times New Roman" w:hAnsi="Times New Roman" w:cs="Times New Roman"/>
          <w:b w:val="0"/>
          <w:bCs/>
          <w:sz w:val="24"/>
          <w:szCs w:val="24"/>
          <w:highlight w:val="none"/>
          <w:lang w:val="en-US" w:eastAsia="zh-CN"/>
        </w:rPr>
        <w:t>2、审计报告；</w:t>
      </w:r>
    </w:p>
    <w:p>
      <w:pPr>
        <w:adjustRightInd w:val="0"/>
        <w:snapToGrid w:val="0"/>
        <w:spacing w:line="360" w:lineRule="auto"/>
        <w:ind w:firstLine="480" w:firstLineChars="200"/>
        <w:outlineLvl w:val="0"/>
        <w:rPr>
          <w:rFonts w:hint="eastAsia" w:ascii="Times New Roman" w:hAnsi="Times New Roman" w:cs="Times New Roman"/>
          <w:b w:val="0"/>
          <w:bCs/>
          <w:sz w:val="24"/>
          <w:szCs w:val="24"/>
          <w:highlight w:val="none"/>
          <w:lang w:val="en-US" w:eastAsia="zh-CN"/>
        </w:rPr>
      </w:pPr>
      <w:r>
        <w:rPr>
          <w:rFonts w:hint="eastAsia" w:ascii="Times New Roman" w:hAnsi="Times New Roman" w:cs="Times New Roman"/>
          <w:b w:val="0"/>
          <w:bCs/>
          <w:sz w:val="24"/>
          <w:szCs w:val="24"/>
          <w:highlight w:val="none"/>
          <w:lang w:val="en-US" w:eastAsia="zh-CN"/>
        </w:rPr>
        <w:t>3、评估报告；</w:t>
      </w:r>
    </w:p>
    <w:p>
      <w:pPr>
        <w:adjustRightInd w:val="0"/>
        <w:snapToGrid w:val="0"/>
        <w:spacing w:line="360" w:lineRule="auto"/>
        <w:ind w:firstLine="480" w:firstLineChars="200"/>
        <w:outlineLvl w:val="0"/>
        <w:rPr>
          <w:rFonts w:hint="eastAsia" w:ascii="Times New Roman" w:hAnsi="Times New Roman" w:cs="Times New Roman"/>
          <w:b w:val="0"/>
          <w:bCs/>
          <w:sz w:val="24"/>
          <w:szCs w:val="24"/>
          <w:highlight w:val="none"/>
          <w:lang w:val="en-US" w:eastAsia="zh-CN"/>
        </w:rPr>
      </w:pPr>
      <w:r>
        <w:rPr>
          <w:rFonts w:hint="eastAsia" w:ascii="Times New Roman" w:hAnsi="Times New Roman" w:cs="Times New Roman"/>
          <w:b w:val="0"/>
          <w:bCs/>
          <w:sz w:val="24"/>
          <w:szCs w:val="24"/>
          <w:highlight w:val="none"/>
          <w:lang w:val="en-US" w:eastAsia="zh-CN"/>
        </w:rPr>
        <w:t>4、上市公司交易情况概述表。</w:t>
      </w:r>
    </w:p>
    <w:p>
      <w:pPr>
        <w:snapToGrid w:val="0"/>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特此公告。</w:t>
      </w:r>
    </w:p>
    <w:p>
      <w:pPr>
        <w:snapToGrid w:val="0"/>
        <w:spacing w:line="360" w:lineRule="auto"/>
        <w:ind w:firstLine="482" w:firstLineChars="200"/>
        <w:jc w:val="right"/>
        <w:rPr>
          <w:rFonts w:hint="default" w:ascii="Times New Roman" w:hAnsi="Times New Roman" w:cs="Times New Roman"/>
          <w:b/>
          <w:sz w:val="24"/>
          <w:szCs w:val="24"/>
        </w:rPr>
      </w:pPr>
      <w:r>
        <w:rPr>
          <w:rFonts w:hint="default" w:ascii="Times New Roman" w:hAnsi="Times New Roman" w:cs="Times New Roman"/>
          <w:b/>
          <w:sz w:val="24"/>
          <w:szCs w:val="24"/>
        </w:rPr>
        <w:t>中广核核技术发展股份有限公司</w:t>
      </w:r>
    </w:p>
    <w:p>
      <w:pPr>
        <w:snapToGrid w:val="0"/>
        <w:spacing w:line="360" w:lineRule="auto"/>
        <w:ind w:firstLine="482" w:firstLineChars="200"/>
        <w:jc w:val="right"/>
        <w:rPr>
          <w:rFonts w:hint="default" w:ascii="Times New Roman" w:hAnsi="Times New Roman" w:cs="Times New Roman"/>
          <w:b/>
          <w:sz w:val="24"/>
          <w:szCs w:val="24"/>
        </w:rPr>
      </w:pPr>
      <w:r>
        <w:rPr>
          <w:rFonts w:hint="default" w:ascii="Times New Roman" w:hAnsi="Times New Roman" w:cs="Times New Roman"/>
          <w:b/>
          <w:sz w:val="24"/>
          <w:szCs w:val="24"/>
        </w:rPr>
        <w:t>董事会</w:t>
      </w:r>
    </w:p>
    <w:p>
      <w:pPr>
        <w:snapToGrid w:val="0"/>
        <w:spacing w:line="360" w:lineRule="auto"/>
        <w:ind w:firstLine="482" w:firstLineChars="200"/>
        <w:jc w:val="right"/>
        <w:rPr>
          <w:rFonts w:hint="default" w:ascii="Times New Roman" w:hAnsi="Times New Roman" w:cs="Times New Roman"/>
          <w:sz w:val="24"/>
          <w:szCs w:val="24"/>
        </w:rPr>
      </w:pPr>
      <w:r>
        <w:rPr>
          <w:rFonts w:hint="default" w:ascii="Times New Roman" w:hAnsi="Times New Roman" w:cs="Times New Roman"/>
          <w:b/>
          <w:sz w:val="24"/>
          <w:szCs w:val="24"/>
        </w:rPr>
        <w:t>202</w:t>
      </w:r>
      <w:r>
        <w:rPr>
          <w:rFonts w:hint="eastAsia" w:ascii="Times New Roman" w:hAnsi="Times New Roman" w:cs="Times New Roman"/>
          <w:b/>
          <w:sz w:val="24"/>
          <w:szCs w:val="24"/>
          <w:lang w:val="en-US" w:eastAsia="zh-CN"/>
        </w:rPr>
        <w:t>3</w:t>
      </w:r>
      <w:r>
        <w:rPr>
          <w:rFonts w:hint="default" w:ascii="Times New Roman" w:hAnsi="Times New Roman" w:cs="Times New Roman"/>
          <w:b/>
          <w:sz w:val="24"/>
          <w:szCs w:val="24"/>
        </w:rPr>
        <w:t>年</w:t>
      </w:r>
      <w:r>
        <w:rPr>
          <w:rFonts w:hint="eastAsia" w:ascii="Times New Roman" w:hAnsi="Times New Roman" w:cs="Times New Roman"/>
          <w:b/>
          <w:sz w:val="24"/>
          <w:szCs w:val="24"/>
          <w:lang w:val="en-US" w:eastAsia="zh-CN"/>
        </w:rPr>
        <w:t>1</w:t>
      </w:r>
      <w:r>
        <w:rPr>
          <w:rFonts w:hint="eastAsia" w:ascii="Times New Roman" w:hAnsi="Times New Roman" w:cs="Times New Roman"/>
          <w:b/>
          <w:sz w:val="24"/>
          <w:szCs w:val="24"/>
          <w:lang w:val="en-US" w:eastAsia="zh-CN"/>
        </w:rPr>
        <w:t>0</w:t>
      </w:r>
      <w:r>
        <w:rPr>
          <w:rFonts w:hint="default" w:ascii="Times New Roman" w:hAnsi="Times New Roman" w:cs="Times New Roman"/>
          <w:b/>
          <w:sz w:val="24"/>
          <w:szCs w:val="24"/>
        </w:rPr>
        <w:t>月</w:t>
      </w:r>
      <w:r>
        <w:rPr>
          <w:rFonts w:hint="eastAsia" w:ascii="Times New Roman" w:hAnsi="Times New Roman" w:cs="Times New Roman"/>
          <w:b/>
          <w:sz w:val="24"/>
          <w:szCs w:val="24"/>
          <w:lang w:val="en-US" w:eastAsia="zh-CN"/>
        </w:rPr>
        <w:t>1</w:t>
      </w:r>
      <w:r>
        <w:rPr>
          <w:rFonts w:hint="eastAsia" w:ascii="Times New Roman" w:hAnsi="Times New Roman" w:cs="Times New Roman"/>
          <w:b/>
          <w:sz w:val="24"/>
          <w:szCs w:val="24"/>
          <w:lang w:val="en-US" w:eastAsia="zh-CN"/>
        </w:rPr>
        <w:t>1</w:t>
      </w:r>
      <w:r>
        <w:rPr>
          <w:rFonts w:hint="default" w:ascii="Times New Roman" w:hAnsi="Times New Roman" w:cs="Times New Roman"/>
          <w:b/>
          <w:sz w:val="24"/>
          <w:szCs w:val="24"/>
        </w:rPr>
        <w:t>日</w:t>
      </w:r>
    </w:p>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楷体_GB2312">
    <w:altName w:val="楷体"/>
    <w:panose1 w:val="02010609030101010101"/>
    <w:charset w:val="86"/>
    <w:family w:val="modern"/>
    <w:pitch w:val="default"/>
    <w:sig w:usb0="00000001" w:usb1="080E0000" w:usb2="00000010" w:usb3="00000000" w:csb0="00040001"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CC0007"/>
    <w:multiLevelType w:val="singleLevel"/>
    <w:tmpl w:val="18CC0007"/>
    <w:lvl w:ilvl="0" w:tentative="0">
      <w:start w:val="6"/>
      <w:numFmt w:val="decimal"/>
      <w:pStyle w:val="23"/>
      <w:lvlText w:val="%1、"/>
      <w:legacy w:legacy="1" w:legacySpace="0" w:legacyIndent="465"/>
      <w:lvlJc w:val="left"/>
      <w:pPr>
        <w:ind w:left="1035" w:hanging="465"/>
      </w:pPr>
      <w:rPr>
        <w:rFonts w:hint="eastAsia" w:ascii="楷体_GB2312" w:eastAsia="楷体_GB2312"/>
        <w:b w:val="0"/>
        <w:i w:val="0"/>
        <w:sz w:val="28"/>
        <w:u w:val="none"/>
      </w:rPr>
    </w:lvl>
  </w:abstractNum>
  <w:abstractNum w:abstractNumId="1">
    <w:nsid w:val="36FAC957"/>
    <w:multiLevelType w:val="singleLevel"/>
    <w:tmpl w:val="36FAC957"/>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E69"/>
    <w:rsid w:val="0000070D"/>
    <w:rsid w:val="000018E4"/>
    <w:rsid w:val="00001B05"/>
    <w:rsid w:val="00001F37"/>
    <w:rsid w:val="00001F70"/>
    <w:rsid w:val="00003433"/>
    <w:rsid w:val="0000729F"/>
    <w:rsid w:val="00012FCA"/>
    <w:rsid w:val="00013BAD"/>
    <w:rsid w:val="00013DE7"/>
    <w:rsid w:val="0001484C"/>
    <w:rsid w:val="000222C4"/>
    <w:rsid w:val="00024767"/>
    <w:rsid w:val="000252E3"/>
    <w:rsid w:val="00027656"/>
    <w:rsid w:val="000315F7"/>
    <w:rsid w:val="00032084"/>
    <w:rsid w:val="000341F5"/>
    <w:rsid w:val="000364D6"/>
    <w:rsid w:val="000405F2"/>
    <w:rsid w:val="00040745"/>
    <w:rsid w:val="00040E2A"/>
    <w:rsid w:val="000419AF"/>
    <w:rsid w:val="00045B28"/>
    <w:rsid w:val="00045FDE"/>
    <w:rsid w:val="000512F0"/>
    <w:rsid w:val="0005324B"/>
    <w:rsid w:val="000534B7"/>
    <w:rsid w:val="0005380D"/>
    <w:rsid w:val="00054673"/>
    <w:rsid w:val="00054DFE"/>
    <w:rsid w:val="000554BB"/>
    <w:rsid w:val="00055679"/>
    <w:rsid w:val="000559A8"/>
    <w:rsid w:val="000568EC"/>
    <w:rsid w:val="0005724A"/>
    <w:rsid w:val="000572AD"/>
    <w:rsid w:val="000579AD"/>
    <w:rsid w:val="00062129"/>
    <w:rsid w:val="00062E11"/>
    <w:rsid w:val="00063A9B"/>
    <w:rsid w:val="00063F7F"/>
    <w:rsid w:val="000645B1"/>
    <w:rsid w:val="00064887"/>
    <w:rsid w:val="0006546C"/>
    <w:rsid w:val="00081090"/>
    <w:rsid w:val="00081A66"/>
    <w:rsid w:val="000822BE"/>
    <w:rsid w:val="000828BD"/>
    <w:rsid w:val="00082936"/>
    <w:rsid w:val="00086615"/>
    <w:rsid w:val="000868C9"/>
    <w:rsid w:val="00086B9F"/>
    <w:rsid w:val="00090342"/>
    <w:rsid w:val="00093C0D"/>
    <w:rsid w:val="000A02FE"/>
    <w:rsid w:val="000A68BD"/>
    <w:rsid w:val="000B0888"/>
    <w:rsid w:val="000B22DD"/>
    <w:rsid w:val="000B3357"/>
    <w:rsid w:val="000B3495"/>
    <w:rsid w:val="000B5870"/>
    <w:rsid w:val="000C0E38"/>
    <w:rsid w:val="000C0FE7"/>
    <w:rsid w:val="000C398E"/>
    <w:rsid w:val="000C50D1"/>
    <w:rsid w:val="000C5E04"/>
    <w:rsid w:val="000C71E5"/>
    <w:rsid w:val="000D1032"/>
    <w:rsid w:val="000D2D28"/>
    <w:rsid w:val="000D3D05"/>
    <w:rsid w:val="000D6F96"/>
    <w:rsid w:val="000D7118"/>
    <w:rsid w:val="000E03B2"/>
    <w:rsid w:val="000E2E56"/>
    <w:rsid w:val="000E4970"/>
    <w:rsid w:val="000E4DC9"/>
    <w:rsid w:val="000E4FF5"/>
    <w:rsid w:val="000E5A9B"/>
    <w:rsid w:val="000E6CD7"/>
    <w:rsid w:val="000E733F"/>
    <w:rsid w:val="000F0B77"/>
    <w:rsid w:val="000F26C4"/>
    <w:rsid w:val="000F33E2"/>
    <w:rsid w:val="000F3D49"/>
    <w:rsid w:val="000F3FEE"/>
    <w:rsid w:val="000F4132"/>
    <w:rsid w:val="000F55F2"/>
    <w:rsid w:val="000F69B3"/>
    <w:rsid w:val="000F6D10"/>
    <w:rsid w:val="000F7775"/>
    <w:rsid w:val="001008A5"/>
    <w:rsid w:val="00101550"/>
    <w:rsid w:val="00106F91"/>
    <w:rsid w:val="001077F4"/>
    <w:rsid w:val="0011228F"/>
    <w:rsid w:val="001132CB"/>
    <w:rsid w:val="00113D3C"/>
    <w:rsid w:val="00120AE3"/>
    <w:rsid w:val="00121480"/>
    <w:rsid w:val="00122502"/>
    <w:rsid w:val="00122815"/>
    <w:rsid w:val="00122928"/>
    <w:rsid w:val="00123294"/>
    <w:rsid w:val="00123D1A"/>
    <w:rsid w:val="001251EB"/>
    <w:rsid w:val="00127F6A"/>
    <w:rsid w:val="0013019C"/>
    <w:rsid w:val="00130517"/>
    <w:rsid w:val="001318C3"/>
    <w:rsid w:val="00132C15"/>
    <w:rsid w:val="001330A5"/>
    <w:rsid w:val="00135267"/>
    <w:rsid w:val="0013696E"/>
    <w:rsid w:val="00136AC4"/>
    <w:rsid w:val="00140B6F"/>
    <w:rsid w:val="00141CE9"/>
    <w:rsid w:val="00142DF0"/>
    <w:rsid w:val="00143646"/>
    <w:rsid w:val="00147D93"/>
    <w:rsid w:val="00150D93"/>
    <w:rsid w:val="00152F22"/>
    <w:rsid w:val="00155356"/>
    <w:rsid w:val="001619BE"/>
    <w:rsid w:val="001672F9"/>
    <w:rsid w:val="001711B8"/>
    <w:rsid w:val="00171F37"/>
    <w:rsid w:val="001735A0"/>
    <w:rsid w:val="00173CEF"/>
    <w:rsid w:val="00174E35"/>
    <w:rsid w:val="00175408"/>
    <w:rsid w:val="001758B5"/>
    <w:rsid w:val="00175CBF"/>
    <w:rsid w:val="00176115"/>
    <w:rsid w:val="001779E1"/>
    <w:rsid w:val="0018038D"/>
    <w:rsid w:val="00180636"/>
    <w:rsid w:val="00182210"/>
    <w:rsid w:val="00182A5F"/>
    <w:rsid w:val="0018364A"/>
    <w:rsid w:val="00184563"/>
    <w:rsid w:val="001851C6"/>
    <w:rsid w:val="00186CD1"/>
    <w:rsid w:val="0018799D"/>
    <w:rsid w:val="00190AA3"/>
    <w:rsid w:val="0019389A"/>
    <w:rsid w:val="00193EE4"/>
    <w:rsid w:val="0019426B"/>
    <w:rsid w:val="001943AE"/>
    <w:rsid w:val="00196DD8"/>
    <w:rsid w:val="001A077E"/>
    <w:rsid w:val="001A0C62"/>
    <w:rsid w:val="001A1609"/>
    <w:rsid w:val="001A198A"/>
    <w:rsid w:val="001A26DE"/>
    <w:rsid w:val="001A27C9"/>
    <w:rsid w:val="001A3E5F"/>
    <w:rsid w:val="001A6CF4"/>
    <w:rsid w:val="001A6DBB"/>
    <w:rsid w:val="001A726D"/>
    <w:rsid w:val="001A75E0"/>
    <w:rsid w:val="001B0D78"/>
    <w:rsid w:val="001B1368"/>
    <w:rsid w:val="001B26FF"/>
    <w:rsid w:val="001B46CC"/>
    <w:rsid w:val="001B71DD"/>
    <w:rsid w:val="001C1F46"/>
    <w:rsid w:val="001C3BDD"/>
    <w:rsid w:val="001C55C8"/>
    <w:rsid w:val="001D1554"/>
    <w:rsid w:val="001D1FD2"/>
    <w:rsid w:val="001D27C2"/>
    <w:rsid w:val="001D4F4C"/>
    <w:rsid w:val="001D7325"/>
    <w:rsid w:val="001E0396"/>
    <w:rsid w:val="001E504C"/>
    <w:rsid w:val="001E5811"/>
    <w:rsid w:val="001E5A48"/>
    <w:rsid w:val="001E74C3"/>
    <w:rsid w:val="001F1297"/>
    <w:rsid w:val="001F5845"/>
    <w:rsid w:val="001F6AA1"/>
    <w:rsid w:val="001F7A38"/>
    <w:rsid w:val="00200618"/>
    <w:rsid w:val="00203CC6"/>
    <w:rsid w:val="002042D4"/>
    <w:rsid w:val="002046EF"/>
    <w:rsid w:val="00210ACC"/>
    <w:rsid w:val="0021237C"/>
    <w:rsid w:val="00213050"/>
    <w:rsid w:val="00215345"/>
    <w:rsid w:val="0021591A"/>
    <w:rsid w:val="00217950"/>
    <w:rsid w:val="00221786"/>
    <w:rsid w:val="002219F2"/>
    <w:rsid w:val="00223FEE"/>
    <w:rsid w:val="00225612"/>
    <w:rsid w:val="00227D09"/>
    <w:rsid w:val="00231432"/>
    <w:rsid w:val="00232CED"/>
    <w:rsid w:val="00241B2A"/>
    <w:rsid w:val="00241C22"/>
    <w:rsid w:val="0024570C"/>
    <w:rsid w:val="0024605D"/>
    <w:rsid w:val="002462C7"/>
    <w:rsid w:val="0024794D"/>
    <w:rsid w:val="00253C07"/>
    <w:rsid w:val="00253EB5"/>
    <w:rsid w:val="002553AE"/>
    <w:rsid w:val="002572B1"/>
    <w:rsid w:val="0025767F"/>
    <w:rsid w:val="0026017F"/>
    <w:rsid w:val="00261D1D"/>
    <w:rsid w:val="0026213E"/>
    <w:rsid w:val="002654A6"/>
    <w:rsid w:val="00265BF8"/>
    <w:rsid w:val="00266E89"/>
    <w:rsid w:val="00267A6E"/>
    <w:rsid w:val="002710C2"/>
    <w:rsid w:val="002721D6"/>
    <w:rsid w:val="002733BF"/>
    <w:rsid w:val="00273AF5"/>
    <w:rsid w:val="00273E92"/>
    <w:rsid w:val="00274406"/>
    <w:rsid w:val="002815FE"/>
    <w:rsid w:val="002844B8"/>
    <w:rsid w:val="00285703"/>
    <w:rsid w:val="0028583F"/>
    <w:rsid w:val="00285ECD"/>
    <w:rsid w:val="00286AE0"/>
    <w:rsid w:val="0029131D"/>
    <w:rsid w:val="00292622"/>
    <w:rsid w:val="00292860"/>
    <w:rsid w:val="00294C3D"/>
    <w:rsid w:val="00295EA0"/>
    <w:rsid w:val="00296EE8"/>
    <w:rsid w:val="00296F2D"/>
    <w:rsid w:val="00297A79"/>
    <w:rsid w:val="002A4FCB"/>
    <w:rsid w:val="002A5C87"/>
    <w:rsid w:val="002B03AF"/>
    <w:rsid w:val="002B22B3"/>
    <w:rsid w:val="002C4293"/>
    <w:rsid w:val="002D1824"/>
    <w:rsid w:val="002D1EF9"/>
    <w:rsid w:val="002D21A8"/>
    <w:rsid w:val="002D4AB5"/>
    <w:rsid w:val="002D746D"/>
    <w:rsid w:val="002D7DFE"/>
    <w:rsid w:val="002E024D"/>
    <w:rsid w:val="002E03A2"/>
    <w:rsid w:val="002E3DE1"/>
    <w:rsid w:val="002E7E85"/>
    <w:rsid w:val="002E7F16"/>
    <w:rsid w:val="002F0134"/>
    <w:rsid w:val="002F15EF"/>
    <w:rsid w:val="002F6A0E"/>
    <w:rsid w:val="0030260F"/>
    <w:rsid w:val="00302905"/>
    <w:rsid w:val="003035D6"/>
    <w:rsid w:val="003043E1"/>
    <w:rsid w:val="003062F8"/>
    <w:rsid w:val="003063A6"/>
    <w:rsid w:val="00310B85"/>
    <w:rsid w:val="00310EFD"/>
    <w:rsid w:val="0031131E"/>
    <w:rsid w:val="003125E1"/>
    <w:rsid w:val="003134E1"/>
    <w:rsid w:val="00315795"/>
    <w:rsid w:val="0031682D"/>
    <w:rsid w:val="00317F0E"/>
    <w:rsid w:val="0032030F"/>
    <w:rsid w:val="00320ACB"/>
    <w:rsid w:val="0032419B"/>
    <w:rsid w:val="00326EE7"/>
    <w:rsid w:val="00327C50"/>
    <w:rsid w:val="003318C5"/>
    <w:rsid w:val="00331EDD"/>
    <w:rsid w:val="00332548"/>
    <w:rsid w:val="0033435E"/>
    <w:rsid w:val="00337925"/>
    <w:rsid w:val="00344860"/>
    <w:rsid w:val="00346C94"/>
    <w:rsid w:val="003505F5"/>
    <w:rsid w:val="003514E4"/>
    <w:rsid w:val="00352FDF"/>
    <w:rsid w:val="003539D7"/>
    <w:rsid w:val="00354346"/>
    <w:rsid w:val="003546AA"/>
    <w:rsid w:val="00356450"/>
    <w:rsid w:val="00357CAD"/>
    <w:rsid w:val="00360E17"/>
    <w:rsid w:val="00362E93"/>
    <w:rsid w:val="00362EAB"/>
    <w:rsid w:val="003638CC"/>
    <w:rsid w:val="00364296"/>
    <w:rsid w:val="003646FE"/>
    <w:rsid w:val="0036792F"/>
    <w:rsid w:val="00367B9E"/>
    <w:rsid w:val="0037093D"/>
    <w:rsid w:val="00370C0B"/>
    <w:rsid w:val="003719EF"/>
    <w:rsid w:val="00373691"/>
    <w:rsid w:val="00373CFD"/>
    <w:rsid w:val="0037678A"/>
    <w:rsid w:val="00381162"/>
    <w:rsid w:val="00386C81"/>
    <w:rsid w:val="003900E3"/>
    <w:rsid w:val="00392691"/>
    <w:rsid w:val="00392A36"/>
    <w:rsid w:val="0039362B"/>
    <w:rsid w:val="00395D6C"/>
    <w:rsid w:val="003A292F"/>
    <w:rsid w:val="003A2989"/>
    <w:rsid w:val="003A2A74"/>
    <w:rsid w:val="003A3403"/>
    <w:rsid w:val="003A4AB1"/>
    <w:rsid w:val="003A51A7"/>
    <w:rsid w:val="003A607C"/>
    <w:rsid w:val="003A7C90"/>
    <w:rsid w:val="003B1804"/>
    <w:rsid w:val="003B2FBC"/>
    <w:rsid w:val="003B4BB5"/>
    <w:rsid w:val="003B546C"/>
    <w:rsid w:val="003C03F3"/>
    <w:rsid w:val="003C0743"/>
    <w:rsid w:val="003C0B6B"/>
    <w:rsid w:val="003C0CB3"/>
    <w:rsid w:val="003C2E06"/>
    <w:rsid w:val="003C5EA8"/>
    <w:rsid w:val="003C6F4E"/>
    <w:rsid w:val="003C6FE9"/>
    <w:rsid w:val="003D0362"/>
    <w:rsid w:val="003D1DEA"/>
    <w:rsid w:val="003D3D95"/>
    <w:rsid w:val="003D60C8"/>
    <w:rsid w:val="003D6BA8"/>
    <w:rsid w:val="003E0DBA"/>
    <w:rsid w:val="003E5295"/>
    <w:rsid w:val="003E54CA"/>
    <w:rsid w:val="003E584F"/>
    <w:rsid w:val="003E7FF5"/>
    <w:rsid w:val="003F0050"/>
    <w:rsid w:val="003F0402"/>
    <w:rsid w:val="003F07F0"/>
    <w:rsid w:val="003F22F8"/>
    <w:rsid w:val="003F27DF"/>
    <w:rsid w:val="003F2969"/>
    <w:rsid w:val="003F3D44"/>
    <w:rsid w:val="003F4A59"/>
    <w:rsid w:val="003F61E2"/>
    <w:rsid w:val="003F73AD"/>
    <w:rsid w:val="004004A6"/>
    <w:rsid w:val="0040098A"/>
    <w:rsid w:val="00400D97"/>
    <w:rsid w:val="00402ED1"/>
    <w:rsid w:val="00403BC7"/>
    <w:rsid w:val="0040407C"/>
    <w:rsid w:val="004054C4"/>
    <w:rsid w:val="00405A64"/>
    <w:rsid w:val="0040741F"/>
    <w:rsid w:val="004100A0"/>
    <w:rsid w:val="00410D4C"/>
    <w:rsid w:val="00412C83"/>
    <w:rsid w:val="00414DAF"/>
    <w:rsid w:val="00415A70"/>
    <w:rsid w:val="0041664F"/>
    <w:rsid w:val="00416DB9"/>
    <w:rsid w:val="00417251"/>
    <w:rsid w:val="0041747D"/>
    <w:rsid w:val="00420C33"/>
    <w:rsid w:val="00422294"/>
    <w:rsid w:val="0042512F"/>
    <w:rsid w:val="00425D5C"/>
    <w:rsid w:val="0043136C"/>
    <w:rsid w:val="00431A2F"/>
    <w:rsid w:val="004326D7"/>
    <w:rsid w:val="00433A97"/>
    <w:rsid w:val="004377D7"/>
    <w:rsid w:val="004403AB"/>
    <w:rsid w:val="00444200"/>
    <w:rsid w:val="00445D18"/>
    <w:rsid w:val="00447146"/>
    <w:rsid w:val="00451457"/>
    <w:rsid w:val="00456040"/>
    <w:rsid w:val="00457CA7"/>
    <w:rsid w:val="00460E7C"/>
    <w:rsid w:val="00460F8C"/>
    <w:rsid w:val="00461DEF"/>
    <w:rsid w:val="004624B3"/>
    <w:rsid w:val="00462862"/>
    <w:rsid w:val="0046429F"/>
    <w:rsid w:val="00465A3C"/>
    <w:rsid w:val="00465BF0"/>
    <w:rsid w:val="0047101A"/>
    <w:rsid w:val="00474C11"/>
    <w:rsid w:val="0047752E"/>
    <w:rsid w:val="00480602"/>
    <w:rsid w:val="00481AA6"/>
    <w:rsid w:val="00482515"/>
    <w:rsid w:val="00482B64"/>
    <w:rsid w:val="004833D2"/>
    <w:rsid w:val="0048507C"/>
    <w:rsid w:val="00486D35"/>
    <w:rsid w:val="004908EC"/>
    <w:rsid w:val="0049198B"/>
    <w:rsid w:val="00493E25"/>
    <w:rsid w:val="00493EF0"/>
    <w:rsid w:val="00495998"/>
    <w:rsid w:val="00497F57"/>
    <w:rsid w:val="004A0FB1"/>
    <w:rsid w:val="004A1ADC"/>
    <w:rsid w:val="004A2D8A"/>
    <w:rsid w:val="004B0487"/>
    <w:rsid w:val="004B1E05"/>
    <w:rsid w:val="004B21C5"/>
    <w:rsid w:val="004B2AA2"/>
    <w:rsid w:val="004B3D7C"/>
    <w:rsid w:val="004B4988"/>
    <w:rsid w:val="004C2611"/>
    <w:rsid w:val="004D0DF8"/>
    <w:rsid w:val="004D0F2E"/>
    <w:rsid w:val="004D1890"/>
    <w:rsid w:val="004D24CE"/>
    <w:rsid w:val="004D4403"/>
    <w:rsid w:val="004D5EE0"/>
    <w:rsid w:val="004E0EB1"/>
    <w:rsid w:val="004E1014"/>
    <w:rsid w:val="004E1819"/>
    <w:rsid w:val="004E39CC"/>
    <w:rsid w:val="004E3A40"/>
    <w:rsid w:val="004E6620"/>
    <w:rsid w:val="004E7D49"/>
    <w:rsid w:val="004F21A4"/>
    <w:rsid w:val="004F2974"/>
    <w:rsid w:val="004F5478"/>
    <w:rsid w:val="004F6473"/>
    <w:rsid w:val="005007E2"/>
    <w:rsid w:val="00500898"/>
    <w:rsid w:val="00501102"/>
    <w:rsid w:val="00501F06"/>
    <w:rsid w:val="00503452"/>
    <w:rsid w:val="00503478"/>
    <w:rsid w:val="005116FD"/>
    <w:rsid w:val="00511A8A"/>
    <w:rsid w:val="00516D72"/>
    <w:rsid w:val="005207EB"/>
    <w:rsid w:val="005224F0"/>
    <w:rsid w:val="00523355"/>
    <w:rsid w:val="00523AA6"/>
    <w:rsid w:val="005242ED"/>
    <w:rsid w:val="00524753"/>
    <w:rsid w:val="0052623C"/>
    <w:rsid w:val="00527F5B"/>
    <w:rsid w:val="00531D5B"/>
    <w:rsid w:val="005331CF"/>
    <w:rsid w:val="0053371C"/>
    <w:rsid w:val="00537B62"/>
    <w:rsid w:val="00540445"/>
    <w:rsid w:val="00540C51"/>
    <w:rsid w:val="005454D5"/>
    <w:rsid w:val="00550D32"/>
    <w:rsid w:val="00553397"/>
    <w:rsid w:val="005549AD"/>
    <w:rsid w:val="005550AE"/>
    <w:rsid w:val="005552D9"/>
    <w:rsid w:val="00555C62"/>
    <w:rsid w:val="005565AC"/>
    <w:rsid w:val="00556B0B"/>
    <w:rsid w:val="00557C71"/>
    <w:rsid w:val="0056499A"/>
    <w:rsid w:val="00566CDD"/>
    <w:rsid w:val="00566ECF"/>
    <w:rsid w:val="00570EA4"/>
    <w:rsid w:val="005721B0"/>
    <w:rsid w:val="0057429B"/>
    <w:rsid w:val="005777B9"/>
    <w:rsid w:val="00580136"/>
    <w:rsid w:val="00584937"/>
    <w:rsid w:val="00584BA1"/>
    <w:rsid w:val="00584DA1"/>
    <w:rsid w:val="00585497"/>
    <w:rsid w:val="005870C8"/>
    <w:rsid w:val="00587BF1"/>
    <w:rsid w:val="0059030C"/>
    <w:rsid w:val="00590CD5"/>
    <w:rsid w:val="005956B0"/>
    <w:rsid w:val="00596D32"/>
    <w:rsid w:val="005A1320"/>
    <w:rsid w:val="005A4CEA"/>
    <w:rsid w:val="005A72D8"/>
    <w:rsid w:val="005B3619"/>
    <w:rsid w:val="005B3A52"/>
    <w:rsid w:val="005C0744"/>
    <w:rsid w:val="005C3F4D"/>
    <w:rsid w:val="005D149B"/>
    <w:rsid w:val="005D3F2F"/>
    <w:rsid w:val="005D7223"/>
    <w:rsid w:val="005E0C92"/>
    <w:rsid w:val="005E105C"/>
    <w:rsid w:val="005E592C"/>
    <w:rsid w:val="005E6583"/>
    <w:rsid w:val="005F1E32"/>
    <w:rsid w:val="005F2A66"/>
    <w:rsid w:val="005F35E4"/>
    <w:rsid w:val="005F3CD7"/>
    <w:rsid w:val="005F7051"/>
    <w:rsid w:val="00605620"/>
    <w:rsid w:val="00606C39"/>
    <w:rsid w:val="00611B4C"/>
    <w:rsid w:val="00615CA9"/>
    <w:rsid w:val="0061686A"/>
    <w:rsid w:val="006170F1"/>
    <w:rsid w:val="00617F18"/>
    <w:rsid w:val="006204BA"/>
    <w:rsid w:val="006240FE"/>
    <w:rsid w:val="00624D1A"/>
    <w:rsid w:val="00627C23"/>
    <w:rsid w:val="00630AA0"/>
    <w:rsid w:val="0063222D"/>
    <w:rsid w:val="00632817"/>
    <w:rsid w:val="00634F3D"/>
    <w:rsid w:val="0063550F"/>
    <w:rsid w:val="00635951"/>
    <w:rsid w:val="00636B7E"/>
    <w:rsid w:val="00637763"/>
    <w:rsid w:val="00642525"/>
    <w:rsid w:val="006501FD"/>
    <w:rsid w:val="0065064E"/>
    <w:rsid w:val="00651CA5"/>
    <w:rsid w:val="00652542"/>
    <w:rsid w:val="00652600"/>
    <w:rsid w:val="00652C81"/>
    <w:rsid w:val="00657A1A"/>
    <w:rsid w:val="00661874"/>
    <w:rsid w:val="00662635"/>
    <w:rsid w:val="006634C7"/>
    <w:rsid w:val="0066476E"/>
    <w:rsid w:val="0066666A"/>
    <w:rsid w:val="006708BA"/>
    <w:rsid w:val="00670B7D"/>
    <w:rsid w:val="00671D3A"/>
    <w:rsid w:val="00671D3E"/>
    <w:rsid w:val="00673F42"/>
    <w:rsid w:val="0067673B"/>
    <w:rsid w:val="00680400"/>
    <w:rsid w:val="00680C95"/>
    <w:rsid w:val="00683E22"/>
    <w:rsid w:val="006857C3"/>
    <w:rsid w:val="00690EA4"/>
    <w:rsid w:val="00691439"/>
    <w:rsid w:val="0069288B"/>
    <w:rsid w:val="00693012"/>
    <w:rsid w:val="006934B5"/>
    <w:rsid w:val="006946BB"/>
    <w:rsid w:val="006972AD"/>
    <w:rsid w:val="00697BAD"/>
    <w:rsid w:val="006A209E"/>
    <w:rsid w:val="006A2416"/>
    <w:rsid w:val="006A2693"/>
    <w:rsid w:val="006A471B"/>
    <w:rsid w:val="006A5E20"/>
    <w:rsid w:val="006B17F7"/>
    <w:rsid w:val="006B1B3C"/>
    <w:rsid w:val="006B322C"/>
    <w:rsid w:val="006B32BF"/>
    <w:rsid w:val="006B444E"/>
    <w:rsid w:val="006C17F8"/>
    <w:rsid w:val="006C3121"/>
    <w:rsid w:val="006C34E7"/>
    <w:rsid w:val="006C5854"/>
    <w:rsid w:val="006C71F2"/>
    <w:rsid w:val="006D03F5"/>
    <w:rsid w:val="006D073C"/>
    <w:rsid w:val="006D1331"/>
    <w:rsid w:val="006D24A5"/>
    <w:rsid w:val="006D39D0"/>
    <w:rsid w:val="006D3D1B"/>
    <w:rsid w:val="006D4403"/>
    <w:rsid w:val="006D5E70"/>
    <w:rsid w:val="006D66CC"/>
    <w:rsid w:val="006E093A"/>
    <w:rsid w:val="006E22F6"/>
    <w:rsid w:val="006E2BE6"/>
    <w:rsid w:val="006E2EAB"/>
    <w:rsid w:val="006E4F70"/>
    <w:rsid w:val="006E526A"/>
    <w:rsid w:val="006F08C6"/>
    <w:rsid w:val="006F252E"/>
    <w:rsid w:val="006F2783"/>
    <w:rsid w:val="006F2CE6"/>
    <w:rsid w:val="006F4AAE"/>
    <w:rsid w:val="006F5D6A"/>
    <w:rsid w:val="006F6E1C"/>
    <w:rsid w:val="006F715E"/>
    <w:rsid w:val="007005CA"/>
    <w:rsid w:val="00700761"/>
    <w:rsid w:val="00702852"/>
    <w:rsid w:val="00702A98"/>
    <w:rsid w:val="00702FAD"/>
    <w:rsid w:val="00706136"/>
    <w:rsid w:val="00710858"/>
    <w:rsid w:val="007134A0"/>
    <w:rsid w:val="00716232"/>
    <w:rsid w:val="007162F2"/>
    <w:rsid w:val="00716C3D"/>
    <w:rsid w:val="00722AE8"/>
    <w:rsid w:val="0072305D"/>
    <w:rsid w:val="0072360C"/>
    <w:rsid w:val="00723937"/>
    <w:rsid w:val="007303CA"/>
    <w:rsid w:val="00730F53"/>
    <w:rsid w:val="0073247B"/>
    <w:rsid w:val="00733D3D"/>
    <w:rsid w:val="00740AB8"/>
    <w:rsid w:val="00743EE4"/>
    <w:rsid w:val="0074467B"/>
    <w:rsid w:val="00744E34"/>
    <w:rsid w:val="00747593"/>
    <w:rsid w:val="00747DC4"/>
    <w:rsid w:val="00751696"/>
    <w:rsid w:val="00753911"/>
    <w:rsid w:val="00753AD4"/>
    <w:rsid w:val="007545CE"/>
    <w:rsid w:val="0075504F"/>
    <w:rsid w:val="00756A09"/>
    <w:rsid w:val="007627B2"/>
    <w:rsid w:val="00762836"/>
    <w:rsid w:val="00770B79"/>
    <w:rsid w:val="007740D4"/>
    <w:rsid w:val="00775D17"/>
    <w:rsid w:val="00777B97"/>
    <w:rsid w:val="007802AE"/>
    <w:rsid w:val="007823C8"/>
    <w:rsid w:val="007838FB"/>
    <w:rsid w:val="007862F9"/>
    <w:rsid w:val="00786927"/>
    <w:rsid w:val="00793EB9"/>
    <w:rsid w:val="00797A7D"/>
    <w:rsid w:val="007A198A"/>
    <w:rsid w:val="007A2A9E"/>
    <w:rsid w:val="007A577B"/>
    <w:rsid w:val="007A62DB"/>
    <w:rsid w:val="007A6E3D"/>
    <w:rsid w:val="007A7F89"/>
    <w:rsid w:val="007B007C"/>
    <w:rsid w:val="007B1819"/>
    <w:rsid w:val="007B2111"/>
    <w:rsid w:val="007B3B6A"/>
    <w:rsid w:val="007B69F4"/>
    <w:rsid w:val="007B7C4C"/>
    <w:rsid w:val="007C261C"/>
    <w:rsid w:val="007C3C54"/>
    <w:rsid w:val="007C74BE"/>
    <w:rsid w:val="007C7B96"/>
    <w:rsid w:val="007D015C"/>
    <w:rsid w:val="007D02E0"/>
    <w:rsid w:val="007D77E3"/>
    <w:rsid w:val="007E1D0E"/>
    <w:rsid w:val="007E5775"/>
    <w:rsid w:val="007E652F"/>
    <w:rsid w:val="007F1239"/>
    <w:rsid w:val="007F3469"/>
    <w:rsid w:val="00800509"/>
    <w:rsid w:val="00802140"/>
    <w:rsid w:val="008021AC"/>
    <w:rsid w:val="008069B6"/>
    <w:rsid w:val="00806EB4"/>
    <w:rsid w:val="00807400"/>
    <w:rsid w:val="0081143F"/>
    <w:rsid w:val="00811612"/>
    <w:rsid w:val="00812E89"/>
    <w:rsid w:val="00814C84"/>
    <w:rsid w:val="00815DA7"/>
    <w:rsid w:val="00821CF8"/>
    <w:rsid w:val="00821E29"/>
    <w:rsid w:val="00823195"/>
    <w:rsid w:val="00826019"/>
    <w:rsid w:val="00827788"/>
    <w:rsid w:val="0083025F"/>
    <w:rsid w:val="00830A44"/>
    <w:rsid w:val="00832537"/>
    <w:rsid w:val="00833A64"/>
    <w:rsid w:val="00836155"/>
    <w:rsid w:val="00836D6C"/>
    <w:rsid w:val="00836F29"/>
    <w:rsid w:val="00842435"/>
    <w:rsid w:val="008444D6"/>
    <w:rsid w:val="008450E6"/>
    <w:rsid w:val="00847D79"/>
    <w:rsid w:val="00847E3F"/>
    <w:rsid w:val="008516BC"/>
    <w:rsid w:val="00853158"/>
    <w:rsid w:val="00853E68"/>
    <w:rsid w:val="00856A76"/>
    <w:rsid w:val="00861739"/>
    <w:rsid w:val="008629B0"/>
    <w:rsid w:val="0086311A"/>
    <w:rsid w:val="00864765"/>
    <w:rsid w:val="008648F7"/>
    <w:rsid w:val="008652D5"/>
    <w:rsid w:val="00867CD3"/>
    <w:rsid w:val="008711C0"/>
    <w:rsid w:val="00873BA3"/>
    <w:rsid w:val="0087440C"/>
    <w:rsid w:val="0087519C"/>
    <w:rsid w:val="00880682"/>
    <w:rsid w:val="00880CCA"/>
    <w:rsid w:val="008845F8"/>
    <w:rsid w:val="00885EB1"/>
    <w:rsid w:val="00886FAA"/>
    <w:rsid w:val="008877BC"/>
    <w:rsid w:val="008904F9"/>
    <w:rsid w:val="00890BE1"/>
    <w:rsid w:val="00891F38"/>
    <w:rsid w:val="00892379"/>
    <w:rsid w:val="0089486B"/>
    <w:rsid w:val="00894B9F"/>
    <w:rsid w:val="00894CF8"/>
    <w:rsid w:val="008957D3"/>
    <w:rsid w:val="00895CD4"/>
    <w:rsid w:val="00896298"/>
    <w:rsid w:val="00896432"/>
    <w:rsid w:val="00896A4D"/>
    <w:rsid w:val="00897DC3"/>
    <w:rsid w:val="008A058C"/>
    <w:rsid w:val="008A074F"/>
    <w:rsid w:val="008A1F70"/>
    <w:rsid w:val="008A2897"/>
    <w:rsid w:val="008A296B"/>
    <w:rsid w:val="008A3968"/>
    <w:rsid w:val="008A5EF8"/>
    <w:rsid w:val="008A77CB"/>
    <w:rsid w:val="008A7B24"/>
    <w:rsid w:val="008B142A"/>
    <w:rsid w:val="008B394A"/>
    <w:rsid w:val="008B3CB8"/>
    <w:rsid w:val="008B51EC"/>
    <w:rsid w:val="008B539C"/>
    <w:rsid w:val="008B5518"/>
    <w:rsid w:val="008B5690"/>
    <w:rsid w:val="008B5D46"/>
    <w:rsid w:val="008B6972"/>
    <w:rsid w:val="008B6DF2"/>
    <w:rsid w:val="008B6F11"/>
    <w:rsid w:val="008B718D"/>
    <w:rsid w:val="008B7AC8"/>
    <w:rsid w:val="008C0225"/>
    <w:rsid w:val="008C0D4A"/>
    <w:rsid w:val="008C3079"/>
    <w:rsid w:val="008C3AF2"/>
    <w:rsid w:val="008C4CBE"/>
    <w:rsid w:val="008C5723"/>
    <w:rsid w:val="008C59AD"/>
    <w:rsid w:val="008C5CC6"/>
    <w:rsid w:val="008C6A19"/>
    <w:rsid w:val="008D21B7"/>
    <w:rsid w:val="008D26B8"/>
    <w:rsid w:val="008D2A32"/>
    <w:rsid w:val="008D31A2"/>
    <w:rsid w:val="008D3ADB"/>
    <w:rsid w:val="008D511F"/>
    <w:rsid w:val="008E1B45"/>
    <w:rsid w:val="008E2829"/>
    <w:rsid w:val="008E3435"/>
    <w:rsid w:val="008E6E4D"/>
    <w:rsid w:val="008E75FE"/>
    <w:rsid w:val="008E7C7B"/>
    <w:rsid w:val="008F19F4"/>
    <w:rsid w:val="008F3F5E"/>
    <w:rsid w:val="008F4325"/>
    <w:rsid w:val="008F4735"/>
    <w:rsid w:val="008F478A"/>
    <w:rsid w:val="008F6A95"/>
    <w:rsid w:val="008F7457"/>
    <w:rsid w:val="00911EDE"/>
    <w:rsid w:val="00912A93"/>
    <w:rsid w:val="00913D6F"/>
    <w:rsid w:val="00914888"/>
    <w:rsid w:val="00914BC1"/>
    <w:rsid w:val="0091538D"/>
    <w:rsid w:val="00915497"/>
    <w:rsid w:val="0091560D"/>
    <w:rsid w:val="00916308"/>
    <w:rsid w:val="00916CA2"/>
    <w:rsid w:val="00917392"/>
    <w:rsid w:val="0091755E"/>
    <w:rsid w:val="00920C1C"/>
    <w:rsid w:val="009216D3"/>
    <w:rsid w:val="00922B6D"/>
    <w:rsid w:val="00924E12"/>
    <w:rsid w:val="00924F01"/>
    <w:rsid w:val="009330D8"/>
    <w:rsid w:val="0093317B"/>
    <w:rsid w:val="00933722"/>
    <w:rsid w:val="009371DD"/>
    <w:rsid w:val="00941418"/>
    <w:rsid w:val="00943D83"/>
    <w:rsid w:val="009440F3"/>
    <w:rsid w:val="00947275"/>
    <w:rsid w:val="00947C3F"/>
    <w:rsid w:val="00947C97"/>
    <w:rsid w:val="00950C04"/>
    <w:rsid w:val="0095148B"/>
    <w:rsid w:val="0095164E"/>
    <w:rsid w:val="00956B63"/>
    <w:rsid w:val="00961BD2"/>
    <w:rsid w:val="0096261D"/>
    <w:rsid w:val="009644C0"/>
    <w:rsid w:val="00964D31"/>
    <w:rsid w:val="009657AE"/>
    <w:rsid w:val="009667F1"/>
    <w:rsid w:val="00966E8A"/>
    <w:rsid w:val="00967A76"/>
    <w:rsid w:val="00972012"/>
    <w:rsid w:val="0097255F"/>
    <w:rsid w:val="00973282"/>
    <w:rsid w:val="00973EA7"/>
    <w:rsid w:val="00974E3F"/>
    <w:rsid w:val="009765BD"/>
    <w:rsid w:val="00976CE0"/>
    <w:rsid w:val="00977388"/>
    <w:rsid w:val="00977493"/>
    <w:rsid w:val="00981E18"/>
    <w:rsid w:val="009842E9"/>
    <w:rsid w:val="00985599"/>
    <w:rsid w:val="009919D7"/>
    <w:rsid w:val="00992E33"/>
    <w:rsid w:val="009930C3"/>
    <w:rsid w:val="0099415E"/>
    <w:rsid w:val="00995B71"/>
    <w:rsid w:val="0099629A"/>
    <w:rsid w:val="00997E12"/>
    <w:rsid w:val="009A00C4"/>
    <w:rsid w:val="009A137D"/>
    <w:rsid w:val="009A2381"/>
    <w:rsid w:val="009A364A"/>
    <w:rsid w:val="009A38E7"/>
    <w:rsid w:val="009B01FB"/>
    <w:rsid w:val="009B2245"/>
    <w:rsid w:val="009B28D6"/>
    <w:rsid w:val="009B672D"/>
    <w:rsid w:val="009C1FB9"/>
    <w:rsid w:val="009C4852"/>
    <w:rsid w:val="009C67C6"/>
    <w:rsid w:val="009C7AC5"/>
    <w:rsid w:val="009C7C55"/>
    <w:rsid w:val="009D159C"/>
    <w:rsid w:val="009D240B"/>
    <w:rsid w:val="009D2418"/>
    <w:rsid w:val="009D31B1"/>
    <w:rsid w:val="009D45A0"/>
    <w:rsid w:val="009D5DDD"/>
    <w:rsid w:val="009E3356"/>
    <w:rsid w:val="009E625E"/>
    <w:rsid w:val="009E6673"/>
    <w:rsid w:val="009F02B0"/>
    <w:rsid w:val="009F060F"/>
    <w:rsid w:val="009F2C28"/>
    <w:rsid w:val="009F6740"/>
    <w:rsid w:val="00A016A1"/>
    <w:rsid w:val="00A02D71"/>
    <w:rsid w:val="00A033D1"/>
    <w:rsid w:val="00A039F9"/>
    <w:rsid w:val="00A03A10"/>
    <w:rsid w:val="00A03ECA"/>
    <w:rsid w:val="00A04570"/>
    <w:rsid w:val="00A0494E"/>
    <w:rsid w:val="00A0661E"/>
    <w:rsid w:val="00A1029E"/>
    <w:rsid w:val="00A102BA"/>
    <w:rsid w:val="00A15450"/>
    <w:rsid w:val="00A16F14"/>
    <w:rsid w:val="00A207C9"/>
    <w:rsid w:val="00A26FA9"/>
    <w:rsid w:val="00A307CB"/>
    <w:rsid w:val="00A37EF4"/>
    <w:rsid w:val="00A4177A"/>
    <w:rsid w:val="00A42BCF"/>
    <w:rsid w:val="00A43E47"/>
    <w:rsid w:val="00A4747D"/>
    <w:rsid w:val="00A5084D"/>
    <w:rsid w:val="00A50CAF"/>
    <w:rsid w:val="00A55B47"/>
    <w:rsid w:val="00A569CA"/>
    <w:rsid w:val="00A571FF"/>
    <w:rsid w:val="00A57D61"/>
    <w:rsid w:val="00A57DEC"/>
    <w:rsid w:val="00A622A9"/>
    <w:rsid w:val="00A627CF"/>
    <w:rsid w:val="00A63330"/>
    <w:rsid w:val="00A64883"/>
    <w:rsid w:val="00A66724"/>
    <w:rsid w:val="00A71F5F"/>
    <w:rsid w:val="00A72A00"/>
    <w:rsid w:val="00A733BF"/>
    <w:rsid w:val="00A7493B"/>
    <w:rsid w:val="00A74F52"/>
    <w:rsid w:val="00A75EB3"/>
    <w:rsid w:val="00A80148"/>
    <w:rsid w:val="00A81CC3"/>
    <w:rsid w:val="00A81F6C"/>
    <w:rsid w:val="00A82521"/>
    <w:rsid w:val="00A86B40"/>
    <w:rsid w:val="00A902B4"/>
    <w:rsid w:val="00A90B03"/>
    <w:rsid w:val="00A91721"/>
    <w:rsid w:val="00A91E0E"/>
    <w:rsid w:val="00A9289B"/>
    <w:rsid w:val="00A93B8B"/>
    <w:rsid w:val="00A945A9"/>
    <w:rsid w:val="00A9498D"/>
    <w:rsid w:val="00A96132"/>
    <w:rsid w:val="00A9700B"/>
    <w:rsid w:val="00AA0787"/>
    <w:rsid w:val="00AA1A6C"/>
    <w:rsid w:val="00AA1DD7"/>
    <w:rsid w:val="00AA33A9"/>
    <w:rsid w:val="00AA3925"/>
    <w:rsid w:val="00AA4AA1"/>
    <w:rsid w:val="00AA68EB"/>
    <w:rsid w:val="00AA7562"/>
    <w:rsid w:val="00AA75B1"/>
    <w:rsid w:val="00AA768C"/>
    <w:rsid w:val="00AB2128"/>
    <w:rsid w:val="00AB24EF"/>
    <w:rsid w:val="00AB3068"/>
    <w:rsid w:val="00AB3951"/>
    <w:rsid w:val="00AB3F07"/>
    <w:rsid w:val="00AB5465"/>
    <w:rsid w:val="00AB5C15"/>
    <w:rsid w:val="00AB60AA"/>
    <w:rsid w:val="00AB6F2F"/>
    <w:rsid w:val="00AC0B61"/>
    <w:rsid w:val="00AC3629"/>
    <w:rsid w:val="00AC46C6"/>
    <w:rsid w:val="00AC5313"/>
    <w:rsid w:val="00AC60FC"/>
    <w:rsid w:val="00AC694B"/>
    <w:rsid w:val="00AC69C1"/>
    <w:rsid w:val="00AC7FF2"/>
    <w:rsid w:val="00AD194D"/>
    <w:rsid w:val="00AD27D3"/>
    <w:rsid w:val="00AD52C2"/>
    <w:rsid w:val="00AE1D4A"/>
    <w:rsid w:val="00AE3319"/>
    <w:rsid w:val="00AF12CD"/>
    <w:rsid w:val="00AF175A"/>
    <w:rsid w:val="00AF1A0A"/>
    <w:rsid w:val="00AF1E23"/>
    <w:rsid w:val="00AF26A0"/>
    <w:rsid w:val="00AF30AC"/>
    <w:rsid w:val="00AF6C67"/>
    <w:rsid w:val="00AF76B0"/>
    <w:rsid w:val="00B0137C"/>
    <w:rsid w:val="00B018FB"/>
    <w:rsid w:val="00B02353"/>
    <w:rsid w:val="00B03255"/>
    <w:rsid w:val="00B034A3"/>
    <w:rsid w:val="00B05597"/>
    <w:rsid w:val="00B05697"/>
    <w:rsid w:val="00B06853"/>
    <w:rsid w:val="00B07E69"/>
    <w:rsid w:val="00B1351B"/>
    <w:rsid w:val="00B16731"/>
    <w:rsid w:val="00B17EC9"/>
    <w:rsid w:val="00B17F12"/>
    <w:rsid w:val="00B21053"/>
    <w:rsid w:val="00B215E0"/>
    <w:rsid w:val="00B22A2E"/>
    <w:rsid w:val="00B22F30"/>
    <w:rsid w:val="00B23241"/>
    <w:rsid w:val="00B233D6"/>
    <w:rsid w:val="00B275FD"/>
    <w:rsid w:val="00B3050E"/>
    <w:rsid w:val="00B31606"/>
    <w:rsid w:val="00B31A31"/>
    <w:rsid w:val="00B34661"/>
    <w:rsid w:val="00B4086E"/>
    <w:rsid w:val="00B41D9C"/>
    <w:rsid w:val="00B44726"/>
    <w:rsid w:val="00B44BB7"/>
    <w:rsid w:val="00B45575"/>
    <w:rsid w:val="00B45CEC"/>
    <w:rsid w:val="00B45F85"/>
    <w:rsid w:val="00B47C56"/>
    <w:rsid w:val="00B503B0"/>
    <w:rsid w:val="00B5147D"/>
    <w:rsid w:val="00B514D5"/>
    <w:rsid w:val="00B522F2"/>
    <w:rsid w:val="00B54BED"/>
    <w:rsid w:val="00B56509"/>
    <w:rsid w:val="00B60136"/>
    <w:rsid w:val="00B60205"/>
    <w:rsid w:val="00B61285"/>
    <w:rsid w:val="00B61617"/>
    <w:rsid w:val="00B616C7"/>
    <w:rsid w:val="00B63347"/>
    <w:rsid w:val="00B637DC"/>
    <w:rsid w:val="00B6394E"/>
    <w:rsid w:val="00B6496A"/>
    <w:rsid w:val="00B650B4"/>
    <w:rsid w:val="00B67524"/>
    <w:rsid w:val="00B67F9F"/>
    <w:rsid w:val="00B703CD"/>
    <w:rsid w:val="00B70DF2"/>
    <w:rsid w:val="00B72369"/>
    <w:rsid w:val="00B734A0"/>
    <w:rsid w:val="00B747EE"/>
    <w:rsid w:val="00B77DA7"/>
    <w:rsid w:val="00B806DF"/>
    <w:rsid w:val="00B8079F"/>
    <w:rsid w:val="00B81E50"/>
    <w:rsid w:val="00B82C78"/>
    <w:rsid w:val="00B8396E"/>
    <w:rsid w:val="00B8659D"/>
    <w:rsid w:val="00B87BDB"/>
    <w:rsid w:val="00B95EE5"/>
    <w:rsid w:val="00B977B2"/>
    <w:rsid w:val="00BA00BC"/>
    <w:rsid w:val="00BA0AFE"/>
    <w:rsid w:val="00BA0BA8"/>
    <w:rsid w:val="00BA1B40"/>
    <w:rsid w:val="00BA3B05"/>
    <w:rsid w:val="00BA6BEE"/>
    <w:rsid w:val="00BA738D"/>
    <w:rsid w:val="00BA7D20"/>
    <w:rsid w:val="00BB3101"/>
    <w:rsid w:val="00BB53E8"/>
    <w:rsid w:val="00BC0CF0"/>
    <w:rsid w:val="00BC5A27"/>
    <w:rsid w:val="00BC6AFB"/>
    <w:rsid w:val="00BC6B81"/>
    <w:rsid w:val="00BC7D37"/>
    <w:rsid w:val="00BD2F75"/>
    <w:rsid w:val="00BD4405"/>
    <w:rsid w:val="00BD6A90"/>
    <w:rsid w:val="00BE000D"/>
    <w:rsid w:val="00BE01FC"/>
    <w:rsid w:val="00BE08EB"/>
    <w:rsid w:val="00BE1D85"/>
    <w:rsid w:val="00BE2148"/>
    <w:rsid w:val="00BE32A1"/>
    <w:rsid w:val="00BE3449"/>
    <w:rsid w:val="00BE4D04"/>
    <w:rsid w:val="00BE5EF9"/>
    <w:rsid w:val="00BF5D9F"/>
    <w:rsid w:val="00C026E9"/>
    <w:rsid w:val="00C03B2F"/>
    <w:rsid w:val="00C03D29"/>
    <w:rsid w:val="00C043F1"/>
    <w:rsid w:val="00C05278"/>
    <w:rsid w:val="00C05E26"/>
    <w:rsid w:val="00C071D0"/>
    <w:rsid w:val="00C074E2"/>
    <w:rsid w:val="00C07A47"/>
    <w:rsid w:val="00C07C15"/>
    <w:rsid w:val="00C11A2F"/>
    <w:rsid w:val="00C11C26"/>
    <w:rsid w:val="00C132E1"/>
    <w:rsid w:val="00C132F6"/>
    <w:rsid w:val="00C14B50"/>
    <w:rsid w:val="00C15330"/>
    <w:rsid w:val="00C16C41"/>
    <w:rsid w:val="00C23706"/>
    <w:rsid w:val="00C267F1"/>
    <w:rsid w:val="00C26D3E"/>
    <w:rsid w:val="00C30821"/>
    <w:rsid w:val="00C3266C"/>
    <w:rsid w:val="00C327DF"/>
    <w:rsid w:val="00C32F40"/>
    <w:rsid w:val="00C333A4"/>
    <w:rsid w:val="00C36E6D"/>
    <w:rsid w:val="00C40317"/>
    <w:rsid w:val="00C408C3"/>
    <w:rsid w:val="00C41E86"/>
    <w:rsid w:val="00C42D11"/>
    <w:rsid w:val="00C4725B"/>
    <w:rsid w:val="00C52934"/>
    <w:rsid w:val="00C53949"/>
    <w:rsid w:val="00C55776"/>
    <w:rsid w:val="00C56BAA"/>
    <w:rsid w:val="00C57648"/>
    <w:rsid w:val="00C61053"/>
    <w:rsid w:val="00C61709"/>
    <w:rsid w:val="00C61C9B"/>
    <w:rsid w:val="00C62285"/>
    <w:rsid w:val="00C631F8"/>
    <w:rsid w:val="00C63A16"/>
    <w:rsid w:val="00C641DB"/>
    <w:rsid w:val="00C703D5"/>
    <w:rsid w:val="00C7147D"/>
    <w:rsid w:val="00C72262"/>
    <w:rsid w:val="00C73943"/>
    <w:rsid w:val="00C7465F"/>
    <w:rsid w:val="00C75664"/>
    <w:rsid w:val="00C7756B"/>
    <w:rsid w:val="00C77EC8"/>
    <w:rsid w:val="00C82400"/>
    <w:rsid w:val="00C83B33"/>
    <w:rsid w:val="00C83BC4"/>
    <w:rsid w:val="00C843B6"/>
    <w:rsid w:val="00C85D9B"/>
    <w:rsid w:val="00C86D05"/>
    <w:rsid w:val="00C91367"/>
    <w:rsid w:val="00C91508"/>
    <w:rsid w:val="00C917E3"/>
    <w:rsid w:val="00C91A97"/>
    <w:rsid w:val="00C92C48"/>
    <w:rsid w:val="00C92F6D"/>
    <w:rsid w:val="00CA01DF"/>
    <w:rsid w:val="00CA2D30"/>
    <w:rsid w:val="00CA42A1"/>
    <w:rsid w:val="00CA6F65"/>
    <w:rsid w:val="00CA7442"/>
    <w:rsid w:val="00CA7DE0"/>
    <w:rsid w:val="00CB1465"/>
    <w:rsid w:val="00CB56C9"/>
    <w:rsid w:val="00CC0C7D"/>
    <w:rsid w:val="00CC18BB"/>
    <w:rsid w:val="00CC1C44"/>
    <w:rsid w:val="00CC2569"/>
    <w:rsid w:val="00CC44A7"/>
    <w:rsid w:val="00CC4D5A"/>
    <w:rsid w:val="00CC52F6"/>
    <w:rsid w:val="00CC5726"/>
    <w:rsid w:val="00CD0988"/>
    <w:rsid w:val="00CD0BA3"/>
    <w:rsid w:val="00CD523F"/>
    <w:rsid w:val="00CD5927"/>
    <w:rsid w:val="00CE00A5"/>
    <w:rsid w:val="00CE0B0B"/>
    <w:rsid w:val="00CE2447"/>
    <w:rsid w:val="00CE2C31"/>
    <w:rsid w:val="00CE365F"/>
    <w:rsid w:val="00CE45FB"/>
    <w:rsid w:val="00CF18FC"/>
    <w:rsid w:val="00CF2204"/>
    <w:rsid w:val="00CF3624"/>
    <w:rsid w:val="00CF5AF8"/>
    <w:rsid w:val="00CF624F"/>
    <w:rsid w:val="00D00478"/>
    <w:rsid w:val="00D03250"/>
    <w:rsid w:val="00D0433B"/>
    <w:rsid w:val="00D06450"/>
    <w:rsid w:val="00D0712E"/>
    <w:rsid w:val="00D10C7D"/>
    <w:rsid w:val="00D13A10"/>
    <w:rsid w:val="00D15314"/>
    <w:rsid w:val="00D15FEB"/>
    <w:rsid w:val="00D171B5"/>
    <w:rsid w:val="00D20ED8"/>
    <w:rsid w:val="00D21B12"/>
    <w:rsid w:val="00D2586E"/>
    <w:rsid w:val="00D30AD1"/>
    <w:rsid w:val="00D322EB"/>
    <w:rsid w:val="00D32F6B"/>
    <w:rsid w:val="00D34647"/>
    <w:rsid w:val="00D4006D"/>
    <w:rsid w:val="00D40721"/>
    <w:rsid w:val="00D42F8B"/>
    <w:rsid w:val="00D43600"/>
    <w:rsid w:val="00D460B3"/>
    <w:rsid w:val="00D463CD"/>
    <w:rsid w:val="00D46D69"/>
    <w:rsid w:val="00D46DB3"/>
    <w:rsid w:val="00D5126B"/>
    <w:rsid w:val="00D51336"/>
    <w:rsid w:val="00D526A9"/>
    <w:rsid w:val="00D527C0"/>
    <w:rsid w:val="00D53897"/>
    <w:rsid w:val="00D54D2B"/>
    <w:rsid w:val="00D54F26"/>
    <w:rsid w:val="00D54F65"/>
    <w:rsid w:val="00D55D6D"/>
    <w:rsid w:val="00D56EBE"/>
    <w:rsid w:val="00D60DB8"/>
    <w:rsid w:val="00D610D8"/>
    <w:rsid w:val="00D611C4"/>
    <w:rsid w:val="00D616C9"/>
    <w:rsid w:val="00D61A7A"/>
    <w:rsid w:val="00D62456"/>
    <w:rsid w:val="00D6402A"/>
    <w:rsid w:val="00D64F2F"/>
    <w:rsid w:val="00D67AFF"/>
    <w:rsid w:val="00D70D8D"/>
    <w:rsid w:val="00D71438"/>
    <w:rsid w:val="00D723A3"/>
    <w:rsid w:val="00D72A92"/>
    <w:rsid w:val="00D72D6E"/>
    <w:rsid w:val="00D73ECE"/>
    <w:rsid w:val="00D74113"/>
    <w:rsid w:val="00D74227"/>
    <w:rsid w:val="00D75561"/>
    <w:rsid w:val="00D755EE"/>
    <w:rsid w:val="00D80D69"/>
    <w:rsid w:val="00D81151"/>
    <w:rsid w:val="00D83793"/>
    <w:rsid w:val="00D83E45"/>
    <w:rsid w:val="00D90058"/>
    <w:rsid w:val="00D9033D"/>
    <w:rsid w:val="00D90607"/>
    <w:rsid w:val="00D9131A"/>
    <w:rsid w:val="00D9459A"/>
    <w:rsid w:val="00DA02AA"/>
    <w:rsid w:val="00DA03BD"/>
    <w:rsid w:val="00DA124B"/>
    <w:rsid w:val="00DA1C3E"/>
    <w:rsid w:val="00DA2A70"/>
    <w:rsid w:val="00DB06B9"/>
    <w:rsid w:val="00DB0840"/>
    <w:rsid w:val="00DB0EB3"/>
    <w:rsid w:val="00DB16CB"/>
    <w:rsid w:val="00DB1E0C"/>
    <w:rsid w:val="00DB3F38"/>
    <w:rsid w:val="00DB4EF2"/>
    <w:rsid w:val="00DB5917"/>
    <w:rsid w:val="00DB5E80"/>
    <w:rsid w:val="00DC21C9"/>
    <w:rsid w:val="00DC24B6"/>
    <w:rsid w:val="00DC4985"/>
    <w:rsid w:val="00DC50D4"/>
    <w:rsid w:val="00DC7C64"/>
    <w:rsid w:val="00DD03A0"/>
    <w:rsid w:val="00DD03AA"/>
    <w:rsid w:val="00DD08B2"/>
    <w:rsid w:val="00DD1375"/>
    <w:rsid w:val="00DD330D"/>
    <w:rsid w:val="00DD3F44"/>
    <w:rsid w:val="00DD6408"/>
    <w:rsid w:val="00DE3B5E"/>
    <w:rsid w:val="00DE3E3A"/>
    <w:rsid w:val="00DE59A5"/>
    <w:rsid w:val="00DF0285"/>
    <w:rsid w:val="00DF02B4"/>
    <w:rsid w:val="00DF0F4A"/>
    <w:rsid w:val="00DF21D0"/>
    <w:rsid w:val="00DF30F3"/>
    <w:rsid w:val="00DF407A"/>
    <w:rsid w:val="00DF5449"/>
    <w:rsid w:val="00E018DD"/>
    <w:rsid w:val="00E02D95"/>
    <w:rsid w:val="00E04C0A"/>
    <w:rsid w:val="00E054BB"/>
    <w:rsid w:val="00E057DD"/>
    <w:rsid w:val="00E06BCD"/>
    <w:rsid w:val="00E06D28"/>
    <w:rsid w:val="00E1043F"/>
    <w:rsid w:val="00E14478"/>
    <w:rsid w:val="00E14F25"/>
    <w:rsid w:val="00E162E1"/>
    <w:rsid w:val="00E21416"/>
    <w:rsid w:val="00E226A8"/>
    <w:rsid w:val="00E22AF7"/>
    <w:rsid w:val="00E22E07"/>
    <w:rsid w:val="00E249DD"/>
    <w:rsid w:val="00E25C22"/>
    <w:rsid w:val="00E266ED"/>
    <w:rsid w:val="00E4017A"/>
    <w:rsid w:val="00E418C2"/>
    <w:rsid w:val="00E43C54"/>
    <w:rsid w:val="00E43D51"/>
    <w:rsid w:val="00E44DF4"/>
    <w:rsid w:val="00E4503E"/>
    <w:rsid w:val="00E4537A"/>
    <w:rsid w:val="00E46913"/>
    <w:rsid w:val="00E51235"/>
    <w:rsid w:val="00E53293"/>
    <w:rsid w:val="00E5439E"/>
    <w:rsid w:val="00E55267"/>
    <w:rsid w:val="00E55683"/>
    <w:rsid w:val="00E562A7"/>
    <w:rsid w:val="00E62010"/>
    <w:rsid w:val="00E62DE9"/>
    <w:rsid w:val="00E661E5"/>
    <w:rsid w:val="00E7021D"/>
    <w:rsid w:val="00E70E23"/>
    <w:rsid w:val="00E75011"/>
    <w:rsid w:val="00E7729E"/>
    <w:rsid w:val="00E81BAB"/>
    <w:rsid w:val="00E82661"/>
    <w:rsid w:val="00E840FE"/>
    <w:rsid w:val="00E8697A"/>
    <w:rsid w:val="00E86D0A"/>
    <w:rsid w:val="00E918E4"/>
    <w:rsid w:val="00E96717"/>
    <w:rsid w:val="00EA08F0"/>
    <w:rsid w:val="00EA3769"/>
    <w:rsid w:val="00EA3CE2"/>
    <w:rsid w:val="00EA43AF"/>
    <w:rsid w:val="00EA4F01"/>
    <w:rsid w:val="00EA6C2C"/>
    <w:rsid w:val="00EA7BFB"/>
    <w:rsid w:val="00EB0772"/>
    <w:rsid w:val="00EB24D4"/>
    <w:rsid w:val="00EB2B0E"/>
    <w:rsid w:val="00EB3012"/>
    <w:rsid w:val="00EB31CF"/>
    <w:rsid w:val="00EB3FC3"/>
    <w:rsid w:val="00EB4548"/>
    <w:rsid w:val="00EB45E1"/>
    <w:rsid w:val="00EB5201"/>
    <w:rsid w:val="00EB5CE1"/>
    <w:rsid w:val="00EB6569"/>
    <w:rsid w:val="00EB7C6A"/>
    <w:rsid w:val="00EC0CF1"/>
    <w:rsid w:val="00EC16CD"/>
    <w:rsid w:val="00EC1A48"/>
    <w:rsid w:val="00EC1D55"/>
    <w:rsid w:val="00EC59A6"/>
    <w:rsid w:val="00EC6033"/>
    <w:rsid w:val="00ED1401"/>
    <w:rsid w:val="00ED2413"/>
    <w:rsid w:val="00ED4AFF"/>
    <w:rsid w:val="00EE00AA"/>
    <w:rsid w:val="00EE02CB"/>
    <w:rsid w:val="00EE0373"/>
    <w:rsid w:val="00EE2502"/>
    <w:rsid w:val="00EE2883"/>
    <w:rsid w:val="00EE2CAA"/>
    <w:rsid w:val="00EE75C5"/>
    <w:rsid w:val="00EE782D"/>
    <w:rsid w:val="00EF0509"/>
    <w:rsid w:val="00EF1474"/>
    <w:rsid w:val="00EF207D"/>
    <w:rsid w:val="00EF267D"/>
    <w:rsid w:val="00EF2BF9"/>
    <w:rsid w:val="00EF5215"/>
    <w:rsid w:val="00EF6771"/>
    <w:rsid w:val="00EF6F92"/>
    <w:rsid w:val="00EF78A3"/>
    <w:rsid w:val="00F00F79"/>
    <w:rsid w:val="00F01116"/>
    <w:rsid w:val="00F01A64"/>
    <w:rsid w:val="00F0757A"/>
    <w:rsid w:val="00F0759D"/>
    <w:rsid w:val="00F0759E"/>
    <w:rsid w:val="00F14083"/>
    <w:rsid w:val="00F14C0F"/>
    <w:rsid w:val="00F1740D"/>
    <w:rsid w:val="00F207F8"/>
    <w:rsid w:val="00F21109"/>
    <w:rsid w:val="00F232D0"/>
    <w:rsid w:val="00F25B68"/>
    <w:rsid w:val="00F2695D"/>
    <w:rsid w:val="00F31FC5"/>
    <w:rsid w:val="00F3297D"/>
    <w:rsid w:val="00F334C8"/>
    <w:rsid w:val="00F35E1F"/>
    <w:rsid w:val="00F362E9"/>
    <w:rsid w:val="00F400E7"/>
    <w:rsid w:val="00F405EB"/>
    <w:rsid w:val="00F41A6D"/>
    <w:rsid w:val="00F41F46"/>
    <w:rsid w:val="00F42BE4"/>
    <w:rsid w:val="00F432E6"/>
    <w:rsid w:val="00F465BC"/>
    <w:rsid w:val="00F54F5F"/>
    <w:rsid w:val="00F55223"/>
    <w:rsid w:val="00F56A85"/>
    <w:rsid w:val="00F57D6D"/>
    <w:rsid w:val="00F60002"/>
    <w:rsid w:val="00F604D7"/>
    <w:rsid w:val="00F615F6"/>
    <w:rsid w:val="00F64B14"/>
    <w:rsid w:val="00F67C52"/>
    <w:rsid w:val="00F7043F"/>
    <w:rsid w:val="00F7106F"/>
    <w:rsid w:val="00F7625D"/>
    <w:rsid w:val="00F77B7C"/>
    <w:rsid w:val="00F82B40"/>
    <w:rsid w:val="00F83EA2"/>
    <w:rsid w:val="00F87799"/>
    <w:rsid w:val="00F94F7B"/>
    <w:rsid w:val="00FA19C1"/>
    <w:rsid w:val="00FA2423"/>
    <w:rsid w:val="00FA5956"/>
    <w:rsid w:val="00FA65C3"/>
    <w:rsid w:val="00FA7B50"/>
    <w:rsid w:val="00FB0C32"/>
    <w:rsid w:val="00FB0C3D"/>
    <w:rsid w:val="00FB160E"/>
    <w:rsid w:val="00FB1D79"/>
    <w:rsid w:val="00FB231C"/>
    <w:rsid w:val="00FB249F"/>
    <w:rsid w:val="00FB2894"/>
    <w:rsid w:val="00FB2ADD"/>
    <w:rsid w:val="00FB3328"/>
    <w:rsid w:val="00FB4A7F"/>
    <w:rsid w:val="00FB56EA"/>
    <w:rsid w:val="00FB6127"/>
    <w:rsid w:val="00FB6ABE"/>
    <w:rsid w:val="00FB7655"/>
    <w:rsid w:val="00FB77CE"/>
    <w:rsid w:val="00FB7925"/>
    <w:rsid w:val="00FC3C2B"/>
    <w:rsid w:val="00FC5B0F"/>
    <w:rsid w:val="00FD17D1"/>
    <w:rsid w:val="00FD1E0E"/>
    <w:rsid w:val="00FD2220"/>
    <w:rsid w:val="00FD22FD"/>
    <w:rsid w:val="00FD2971"/>
    <w:rsid w:val="00FD6A7D"/>
    <w:rsid w:val="00FD6CE9"/>
    <w:rsid w:val="00FD76F6"/>
    <w:rsid w:val="00FE0D5A"/>
    <w:rsid w:val="00FE3E50"/>
    <w:rsid w:val="00FE461F"/>
    <w:rsid w:val="00FE4B17"/>
    <w:rsid w:val="00FE5F93"/>
    <w:rsid w:val="00FE7597"/>
    <w:rsid w:val="00FE7A8B"/>
    <w:rsid w:val="00FF08F2"/>
    <w:rsid w:val="00FF2B6D"/>
    <w:rsid w:val="00FF5F84"/>
    <w:rsid w:val="011249E2"/>
    <w:rsid w:val="01286D46"/>
    <w:rsid w:val="013F1D8C"/>
    <w:rsid w:val="015E3410"/>
    <w:rsid w:val="01E60B3A"/>
    <w:rsid w:val="027440D4"/>
    <w:rsid w:val="02E841D6"/>
    <w:rsid w:val="02F42596"/>
    <w:rsid w:val="02F543E1"/>
    <w:rsid w:val="031823D0"/>
    <w:rsid w:val="034110E6"/>
    <w:rsid w:val="03455901"/>
    <w:rsid w:val="03953491"/>
    <w:rsid w:val="040840AA"/>
    <w:rsid w:val="042E243E"/>
    <w:rsid w:val="04532970"/>
    <w:rsid w:val="046A7A8E"/>
    <w:rsid w:val="04FB466E"/>
    <w:rsid w:val="05310433"/>
    <w:rsid w:val="05514B36"/>
    <w:rsid w:val="05B443D0"/>
    <w:rsid w:val="05D86CCC"/>
    <w:rsid w:val="05E33E1E"/>
    <w:rsid w:val="05E93642"/>
    <w:rsid w:val="062D65AB"/>
    <w:rsid w:val="06786EBE"/>
    <w:rsid w:val="06E37800"/>
    <w:rsid w:val="06F37F38"/>
    <w:rsid w:val="074C073D"/>
    <w:rsid w:val="07C90AA3"/>
    <w:rsid w:val="08A81E68"/>
    <w:rsid w:val="08BD4F56"/>
    <w:rsid w:val="09690F7B"/>
    <w:rsid w:val="09915C82"/>
    <w:rsid w:val="09B6088D"/>
    <w:rsid w:val="09CD0730"/>
    <w:rsid w:val="09E54D34"/>
    <w:rsid w:val="0AE4744A"/>
    <w:rsid w:val="0AF12D0A"/>
    <w:rsid w:val="0BE06DA8"/>
    <w:rsid w:val="0BFC7141"/>
    <w:rsid w:val="0C2677F3"/>
    <w:rsid w:val="0C5E6673"/>
    <w:rsid w:val="0CA335BB"/>
    <w:rsid w:val="0CAF18EF"/>
    <w:rsid w:val="0DAE2D33"/>
    <w:rsid w:val="0DDD0C30"/>
    <w:rsid w:val="0E707646"/>
    <w:rsid w:val="0E741D95"/>
    <w:rsid w:val="0E933EA0"/>
    <w:rsid w:val="0EF13D6A"/>
    <w:rsid w:val="0F233190"/>
    <w:rsid w:val="0F2D16CC"/>
    <w:rsid w:val="0F3246E5"/>
    <w:rsid w:val="0F4C2751"/>
    <w:rsid w:val="0F916914"/>
    <w:rsid w:val="0FE65CB2"/>
    <w:rsid w:val="0FFC6756"/>
    <w:rsid w:val="10AD14E6"/>
    <w:rsid w:val="10B525B3"/>
    <w:rsid w:val="10C10A31"/>
    <w:rsid w:val="10CF7844"/>
    <w:rsid w:val="116A3F38"/>
    <w:rsid w:val="118A6F26"/>
    <w:rsid w:val="11B552ED"/>
    <w:rsid w:val="11D100E1"/>
    <w:rsid w:val="11E90D4F"/>
    <w:rsid w:val="121F3DF6"/>
    <w:rsid w:val="12310270"/>
    <w:rsid w:val="124C5533"/>
    <w:rsid w:val="12507B2E"/>
    <w:rsid w:val="12793EE6"/>
    <w:rsid w:val="127D77D3"/>
    <w:rsid w:val="129D7109"/>
    <w:rsid w:val="12AC3175"/>
    <w:rsid w:val="12C009BE"/>
    <w:rsid w:val="12C96026"/>
    <w:rsid w:val="12D604D3"/>
    <w:rsid w:val="12D61DAB"/>
    <w:rsid w:val="134D2DD2"/>
    <w:rsid w:val="134E7123"/>
    <w:rsid w:val="13873696"/>
    <w:rsid w:val="14110906"/>
    <w:rsid w:val="142758A2"/>
    <w:rsid w:val="143539A7"/>
    <w:rsid w:val="143F7442"/>
    <w:rsid w:val="1463687F"/>
    <w:rsid w:val="15CF2FCA"/>
    <w:rsid w:val="15F96BD7"/>
    <w:rsid w:val="1610150B"/>
    <w:rsid w:val="16A46065"/>
    <w:rsid w:val="17162CE4"/>
    <w:rsid w:val="174C18CC"/>
    <w:rsid w:val="176068C7"/>
    <w:rsid w:val="17A11539"/>
    <w:rsid w:val="17B50283"/>
    <w:rsid w:val="17CA4B9C"/>
    <w:rsid w:val="17D902AC"/>
    <w:rsid w:val="17FE7A0D"/>
    <w:rsid w:val="18195AAB"/>
    <w:rsid w:val="18791D0B"/>
    <w:rsid w:val="188F7345"/>
    <w:rsid w:val="18982CBB"/>
    <w:rsid w:val="18A05C8D"/>
    <w:rsid w:val="18AE58F9"/>
    <w:rsid w:val="19383609"/>
    <w:rsid w:val="196B1969"/>
    <w:rsid w:val="19E21AAB"/>
    <w:rsid w:val="19F439F5"/>
    <w:rsid w:val="1A1D2BC7"/>
    <w:rsid w:val="1A400EF3"/>
    <w:rsid w:val="1A517AC6"/>
    <w:rsid w:val="1AA84527"/>
    <w:rsid w:val="1B097649"/>
    <w:rsid w:val="1B455613"/>
    <w:rsid w:val="1BED2D51"/>
    <w:rsid w:val="1BFC7E64"/>
    <w:rsid w:val="1C1B7DE8"/>
    <w:rsid w:val="1C281433"/>
    <w:rsid w:val="1C6A5361"/>
    <w:rsid w:val="1C890FBC"/>
    <w:rsid w:val="1D2E5511"/>
    <w:rsid w:val="1D4A1FE1"/>
    <w:rsid w:val="1D702566"/>
    <w:rsid w:val="1DEA4D95"/>
    <w:rsid w:val="1E2563D7"/>
    <w:rsid w:val="1E406D17"/>
    <w:rsid w:val="1EF07DFF"/>
    <w:rsid w:val="1F1E2C1B"/>
    <w:rsid w:val="1F901DC4"/>
    <w:rsid w:val="20114BC3"/>
    <w:rsid w:val="201803F8"/>
    <w:rsid w:val="207007B6"/>
    <w:rsid w:val="208B6A62"/>
    <w:rsid w:val="20F16450"/>
    <w:rsid w:val="214709BD"/>
    <w:rsid w:val="216F02C7"/>
    <w:rsid w:val="21974EDF"/>
    <w:rsid w:val="21AB1E92"/>
    <w:rsid w:val="21CC5644"/>
    <w:rsid w:val="21E675C0"/>
    <w:rsid w:val="221A72D8"/>
    <w:rsid w:val="22533C26"/>
    <w:rsid w:val="22664894"/>
    <w:rsid w:val="231B56EB"/>
    <w:rsid w:val="231F6568"/>
    <w:rsid w:val="232E01AB"/>
    <w:rsid w:val="235268D9"/>
    <w:rsid w:val="235866D2"/>
    <w:rsid w:val="236D7F45"/>
    <w:rsid w:val="238B45E8"/>
    <w:rsid w:val="239649A5"/>
    <w:rsid w:val="23B1649A"/>
    <w:rsid w:val="24246407"/>
    <w:rsid w:val="246D532F"/>
    <w:rsid w:val="248C5332"/>
    <w:rsid w:val="24FB0669"/>
    <w:rsid w:val="251A1A69"/>
    <w:rsid w:val="253D7925"/>
    <w:rsid w:val="2549242D"/>
    <w:rsid w:val="25725244"/>
    <w:rsid w:val="2579359B"/>
    <w:rsid w:val="257C34E2"/>
    <w:rsid w:val="25A21092"/>
    <w:rsid w:val="25AF65E9"/>
    <w:rsid w:val="25C95435"/>
    <w:rsid w:val="25D64A2A"/>
    <w:rsid w:val="26492E00"/>
    <w:rsid w:val="26AC1532"/>
    <w:rsid w:val="271362B5"/>
    <w:rsid w:val="278D5128"/>
    <w:rsid w:val="27C040EA"/>
    <w:rsid w:val="27DC04B8"/>
    <w:rsid w:val="280F52AA"/>
    <w:rsid w:val="28962C9B"/>
    <w:rsid w:val="28D25EC1"/>
    <w:rsid w:val="28EE3A45"/>
    <w:rsid w:val="291549E7"/>
    <w:rsid w:val="294B2438"/>
    <w:rsid w:val="29617C2B"/>
    <w:rsid w:val="29667E18"/>
    <w:rsid w:val="298C17BF"/>
    <w:rsid w:val="299A3D2C"/>
    <w:rsid w:val="2A45073C"/>
    <w:rsid w:val="2A5B19F9"/>
    <w:rsid w:val="2A664CD3"/>
    <w:rsid w:val="2A7B252B"/>
    <w:rsid w:val="2A8F3E1F"/>
    <w:rsid w:val="2AE4078B"/>
    <w:rsid w:val="2B273D35"/>
    <w:rsid w:val="2B2B5722"/>
    <w:rsid w:val="2B6C28F1"/>
    <w:rsid w:val="2B8D1F90"/>
    <w:rsid w:val="2BA07925"/>
    <w:rsid w:val="2BB3715B"/>
    <w:rsid w:val="2BC07DC6"/>
    <w:rsid w:val="2C6D76F2"/>
    <w:rsid w:val="2CA632EF"/>
    <w:rsid w:val="2CA74D3E"/>
    <w:rsid w:val="2CCD3165"/>
    <w:rsid w:val="2DD2674F"/>
    <w:rsid w:val="2E622491"/>
    <w:rsid w:val="2F1767D6"/>
    <w:rsid w:val="2F2309F5"/>
    <w:rsid w:val="2F7A6F85"/>
    <w:rsid w:val="2FC85687"/>
    <w:rsid w:val="2FCB2238"/>
    <w:rsid w:val="2FDE524E"/>
    <w:rsid w:val="302E7D88"/>
    <w:rsid w:val="304F687C"/>
    <w:rsid w:val="307B6BF4"/>
    <w:rsid w:val="31117372"/>
    <w:rsid w:val="31342FF2"/>
    <w:rsid w:val="315B2A66"/>
    <w:rsid w:val="318368B5"/>
    <w:rsid w:val="31B30D47"/>
    <w:rsid w:val="31BF7A88"/>
    <w:rsid w:val="31C5033B"/>
    <w:rsid w:val="31F82C19"/>
    <w:rsid w:val="321831A3"/>
    <w:rsid w:val="3272034E"/>
    <w:rsid w:val="32924551"/>
    <w:rsid w:val="32F54310"/>
    <w:rsid w:val="32FA4CB9"/>
    <w:rsid w:val="338230F9"/>
    <w:rsid w:val="33BB23CD"/>
    <w:rsid w:val="348A69A1"/>
    <w:rsid w:val="34D05480"/>
    <w:rsid w:val="34D4340F"/>
    <w:rsid w:val="34EF7293"/>
    <w:rsid w:val="356D7905"/>
    <w:rsid w:val="35704D2C"/>
    <w:rsid w:val="35887DE9"/>
    <w:rsid w:val="35D00F81"/>
    <w:rsid w:val="35FA0D3D"/>
    <w:rsid w:val="36AC72BB"/>
    <w:rsid w:val="371E0C61"/>
    <w:rsid w:val="37362482"/>
    <w:rsid w:val="37427668"/>
    <w:rsid w:val="385C7771"/>
    <w:rsid w:val="38751521"/>
    <w:rsid w:val="389C434D"/>
    <w:rsid w:val="38BB36F7"/>
    <w:rsid w:val="38C004EB"/>
    <w:rsid w:val="38E14C30"/>
    <w:rsid w:val="39317303"/>
    <w:rsid w:val="39702FE9"/>
    <w:rsid w:val="3A4231A7"/>
    <w:rsid w:val="3A9770C2"/>
    <w:rsid w:val="3AD87E57"/>
    <w:rsid w:val="3B1A6CB8"/>
    <w:rsid w:val="3B60434A"/>
    <w:rsid w:val="3B8D4686"/>
    <w:rsid w:val="3BA90706"/>
    <w:rsid w:val="3CA76CDA"/>
    <w:rsid w:val="3CEE329F"/>
    <w:rsid w:val="3CF012BF"/>
    <w:rsid w:val="3D061AEE"/>
    <w:rsid w:val="3E1C3224"/>
    <w:rsid w:val="3EA33D1B"/>
    <w:rsid w:val="3EBD60DB"/>
    <w:rsid w:val="3EDA2842"/>
    <w:rsid w:val="3F0C1D3C"/>
    <w:rsid w:val="3F647AAA"/>
    <w:rsid w:val="3F871111"/>
    <w:rsid w:val="3F963152"/>
    <w:rsid w:val="3FCC55AB"/>
    <w:rsid w:val="3FCF233C"/>
    <w:rsid w:val="400052E3"/>
    <w:rsid w:val="40043C9F"/>
    <w:rsid w:val="4010114F"/>
    <w:rsid w:val="40136AC9"/>
    <w:rsid w:val="408A2C60"/>
    <w:rsid w:val="408F5783"/>
    <w:rsid w:val="40BA3D4A"/>
    <w:rsid w:val="40CB615F"/>
    <w:rsid w:val="41102259"/>
    <w:rsid w:val="417D7698"/>
    <w:rsid w:val="41983AED"/>
    <w:rsid w:val="41D2442C"/>
    <w:rsid w:val="424108C9"/>
    <w:rsid w:val="42570BB1"/>
    <w:rsid w:val="428B2EA2"/>
    <w:rsid w:val="42A82264"/>
    <w:rsid w:val="42AA6805"/>
    <w:rsid w:val="432C6F71"/>
    <w:rsid w:val="43384D59"/>
    <w:rsid w:val="433B2091"/>
    <w:rsid w:val="43404739"/>
    <w:rsid w:val="435A2178"/>
    <w:rsid w:val="436B2EAE"/>
    <w:rsid w:val="437E2851"/>
    <w:rsid w:val="43923FE9"/>
    <w:rsid w:val="43A665F2"/>
    <w:rsid w:val="43B0090B"/>
    <w:rsid w:val="43FF5B6C"/>
    <w:rsid w:val="440E1A9B"/>
    <w:rsid w:val="4464156E"/>
    <w:rsid w:val="44897734"/>
    <w:rsid w:val="44D301C7"/>
    <w:rsid w:val="44E666B0"/>
    <w:rsid w:val="450A3EEF"/>
    <w:rsid w:val="45474335"/>
    <w:rsid w:val="46087B61"/>
    <w:rsid w:val="4670299D"/>
    <w:rsid w:val="46910715"/>
    <w:rsid w:val="46B27703"/>
    <w:rsid w:val="46BC57B6"/>
    <w:rsid w:val="472874C6"/>
    <w:rsid w:val="474F25CC"/>
    <w:rsid w:val="47A65FCE"/>
    <w:rsid w:val="47C87B83"/>
    <w:rsid w:val="47E549E7"/>
    <w:rsid w:val="47E67532"/>
    <w:rsid w:val="47E93A0F"/>
    <w:rsid w:val="48D12679"/>
    <w:rsid w:val="491445DE"/>
    <w:rsid w:val="494F0AB4"/>
    <w:rsid w:val="495F53E5"/>
    <w:rsid w:val="49733E66"/>
    <w:rsid w:val="49CB1AE9"/>
    <w:rsid w:val="49E756B5"/>
    <w:rsid w:val="4A3B1C68"/>
    <w:rsid w:val="4A7779D0"/>
    <w:rsid w:val="4B2D23A4"/>
    <w:rsid w:val="4B5921AE"/>
    <w:rsid w:val="4BAB1173"/>
    <w:rsid w:val="4BC2660C"/>
    <w:rsid w:val="4BD92CF5"/>
    <w:rsid w:val="4BFB6762"/>
    <w:rsid w:val="4C105589"/>
    <w:rsid w:val="4C7B5768"/>
    <w:rsid w:val="4CA10088"/>
    <w:rsid w:val="4CA16D51"/>
    <w:rsid w:val="4CD20A0E"/>
    <w:rsid w:val="4D1571AA"/>
    <w:rsid w:val="4D3D62BA"/>
    <w:rsid w:val="4D4806BD"/>
    <w:rsid w:val="4D4E3542"/>
    <w:rsid w:val="4D9579CD"/>
    <w:rsid w:val="4DA01087"/>
    <w:rsid w:val="4DB63D8E"/>
    <w:rsid w:val="4DFB6203"/>
    <w:rsid w:val="4E2E6E31"/>
    <w:rsid w:val="4F0F6C60"/>
    <w:rsid w:val="4F45670D"/>
    <w:rsid w:val="4F697433"/>
    <w:rsid w:val="4F9B1B8F"/>
    <w:rsid w:val="4FAA4CBE"/>
    <w:rsid w:val="4FBC109D"/>
    <w:rsid w:val="4FC47F22"/>
    <w:rsid w:val="502B5BB2"/>
    <w:rsid w:val="50753827"/>
    <w:rsid w:val="50C44992"/>
    <w:rsid w:val="50C51A99"/>
    <w:rsid w:val="51371624"/>
    <w:rsid w:val="514C0BD9"/>
    <w:rsid w:val="517F225C"/>
    <w:rsid w:val="51D301E6"/>
    <w:rsid w:val="51EB0BE9"/>
    <w:rsid w:val="53191A22"/>
    <w:rsid w:val="535F52A8"/>
    <w:rsid w:val="53AA60B1"/>
    <w:rsid w:val="53B96868"/>
    <w:rsid w:val="53E9266D"/>
    <w:rsid w:val="544C48F7"/>
    <w:rsid w:val="54725878"/>
    <w:rsid w:val="54754293"/>
    <w:rsid w:val="54B26A87"/>
    <w:rsid w:val="54D05653"/>
    <w:rsid w:val="55194935"/>
    <w:rsid w:val="558511B6"/>
    <w:rsid w:val="558A5735"/>
    <w:rsid w:val="55911B6F"/>
    <w:rsid w:val="55B4772A"/>
    <w:rsid w:val="564F7FB3"/>
    <w:rsid w:val="567D124B"/>
    <w:rsid w:val="56D5224D"/>
    <w:rsid w:val="57061706"/>
    <w:rsid w:val="571457A4"/>
    <w:rsid w:val="571D5F2E"/>
    <w:rsid w:val="572D5A98"/>
    <w:rsid w:val="57637710"/>
    <w:rsid w:val="576C7D30"/>
    <w:rsid w:val="57C36AAF"/>
    <w:rsid w:val="582500D2"/>
    <w:rsid w:val="586E4E4F"/>
    <w:rsid w:val="58A6161D"/>
    <w:rsid w:val="59045D31"/>
    <w:rsid w:val="590C2B59"/>
    <w:rsid w:val="593A1837"/>
    <w:rsid w:val="59493BC3"/>
    <w:rsid w:val="5972315B"/>
    <w:rsid w:val="597C64EA"/>
    <w:rsid w:val="59D41423"/>
    <w:rsid w:val="5AA40051"/>
    <w:rsid w:val="5AFC3887"/>
    <w:rsid w:val="5BB8433F"/>
    <w:rsid w:val="5BFD6956"/>
    <w:rsid w:val="5C720B88"/>
    <w:rsid w:val="5CAC724E"/>
    <w:rsid w:val="5CB11516"/>
    <w:rsid w:val="5CCF5720"/>
    <w:rsid w:val="5CFA3A49"/>
    <w:rsid w:val="5D714BE8"/>
    <w:rsid w:val="5D735E4C"/>
    <w:rsid w:val="5D7E63A7"/>
    <w:rsid w:val="5DC025BC"/>
    <w:rsid w:val="5E4078CF"/>
    <w:rsid w:val="5E7519D4"/>
    <w:rsid w:val="5EC9349B"/>
    <w:rsid w:val="5F2B12E2"/>
    <w:rsid w:val="5F970C5C"/>
    <w:rsid w:val="5FC078E1"/>
    <w:rsid w:val="607023B0"/>
    <w:rsid w:val="6077704A"/>
    <w:rsid w:val="607A2484"/>
    <w:rsid w:val="607E37B1"/>
    <w:rsid w:val="609A4407"/>
    <w:rsid w:val="61124304"/>
    <w:rsid w:val="61B14C60"/>
    <w:rsid w:val="61B47D5D"/>
    <w:rsid w:val="621F21B2"/>
    <w:rsid w:val="62841397"/>
    <w:rsid w:val="629127CF"/>
    <w:rsid w:val="62D17190"/>
    <w:rsid w:val="62E9056D"/>
    <w:rsid w:val="63D6187A"/>
    <w:rsid w:val="63D8052C"/>
    <w:rsid w:val="63E3305F"/>
    <w:rsid w:val="63E41F2B"/>
    <w:rsid w:val="63EC7A50"/>
    <w:rsid w:val="640E6FBF"/>
    <w:rsid w:val="647174F1"/>
    <w:rsid w:val="64AC3E27"/>
    <w:rsid w:val="653057C3"/>
    <w:rsid w:val="655D06C9"/>
    <w:rsid w:val="65CC61C1"/>
    <w:rsid w:val="65F87084"/>
    <w:rsid w:val="65FE08C0"/>
    <w:rsid w:val="667D56A6"/>
    <w:rsid w:val="669E083E"/>
    <w:rsid w:val="66AF53EA"/>
    <w:rsid w:val="670241DF"/>
    <w:rsid w:val="67450013"/>
    <w:rsid w:val="67807D17"/>
    <w:rsid w:val="679E4950"/>
    <w:rsid w:val="679F2B2C"/>
    <w:rsid w:val="67CD1413"/>
    <w:rsid w:val="67D13A1C"/>
    <w:rsid w:val="68807DFB"/>
    <w:rsid w:val="69051BB7"/>
    <w:rsid w:val="692B444C"/>
    <w:rsid w:val="69524C9B"/>
    <w:rsid w:val="698D622B"/>
    <w:rsid w:val="698E2495"/>
    <w:rsid w:val="69F81FB0"/>
    <w:rsid w:val="6A2E4FE1"/>
    <w:rsid w:val="6A5920DE"/>
    <w:rsid w:val="6A714E58"/>
    <w:rsid w:val="6A7F7E58"/>
    <w:rsid w:val="6B444CD2"/>
    <w:rsid w:val="6B4B1748"/>
    <w:rsid w:val="6B830283"/>
    <w:rsid w:val="6B847DEE"/>
    <w:rsid w:val="6BBB75C3"/>
    <w:rsid w:val="6C115FCC"/>
    <w:rsid w:val="6C12037B"/>
    <w:rsid w:val="6C367AF0"/>
    <w:rsid w:val="6C904BE6"/>
    <w:rsid w:val="6CA1332F"/>
    <w:rsid w:val="6CBC7442"/>
    <w:rsid w:val="6CD96F9D"/>
    <w:rsid w:val="6D535D8B"/>
    <w:rsid w:val="6D5F5158"/>
    <w:rsid w:val="6DA941F3"/>
    <w:rsid w:val="6E191746"/>
    <w:rsid w:val="6E472219"/>
    <w:rsid w:val="6E9C6E33"/>
    <w:rsid w:val="6EFC3F1F"/>
    <w:rsid w:val="6F0A48A5"/>
    <w:rsid w:val="6F10052E"/>
    <w:rsid w:val="6F5813AE"/>
    <w:rsid w:val="6F6165C5"/>
    <w:rsid w:val="6F765FCF"/>
    <w:rsid w:val="70283E84"/>
    <w:rsid w:val="70CD31B8"/>
    <w:rsid w:val="714365AE"/>
    <w:rsid w:val="71C832FC"/>
    <w:rsid w:val="726619A7"/>
    <w:rsid w:val="72984F6C"/>
    <w:rsid w:val="730D46FE"/>
    <w:rsid w:val="732F2816"/>
    <w:rsid w:val="733A4B78"/>
    <w:rsid w:val="739C792A"/>
    <w:rsid w:val="7422067B"/>
    <w:rsid w:val="7491210E"/>
    <w:rsid w:val="74BB67A7"/>
    <w:rsid w:val="75245F66"/>
    <w:rsid w:val="75322905"/>
    <w:rsid w:val="75666A34"/>
    <w:rsid w:val="7567382C"/>
    <w:rsid w:val="7579353C"/>
    <w:rsid w:val="757A7C35"/>
    <w:rsid w:val="75936634"/>
    <w:rsid w:val="75E551B5"/>
    <w:rsid w:val="75E974D7"/>
    <w:rsid w:val="765421A8"/>
    <w:rsid w:val="76B65943"/>
    <w:rsid w:val="76D7793D"/>
    <w:rsid w:val="772F67D4"/>
    <w:rsid w:val="77817E8A"/>
    <w:rsid w:val="77E926AF"/>
    <w:rsid w:val="78172067"/>
    <w:rsid w:val="7865749A"/>
    <w:rsid w:val="78F659DA"/>
    <w:rsid w:val="7901733B"/>
    <w:rsid w:val="79153150"/>
    <w:rsid w:val="792D6664"/>
    <w:rsid w:val="799779DB"/>
    <w:rsid w:val="799D7BED"/>
    <w:rsid w:val="79AA2A83"/>
    <w:rsid w:val="79D64836"/>
    <w:rsid w:val="79E76397"/>
    <w:rsid w:val="7A3E1C40"/>
    <w:rsid w:val="7A6A1115"/>
    <w:rsid w:val="7A935B27"/>
    <w:rsid w:val="7B992080"/>
    <w:rsid w:val="7BBF61A1"/>
    <w:rsid w:val="7BEA0F24"/>
    <w:rsid w:val="7C232A03"/>
    <w:rsid w:val="7C2F7B4F"/>
    <w:rsid w:val="7C9F3DC7"/>
    <w:rsid w:val="7CA82E55"/>
    <w:rsid w:val="7D4C2DE7"/>
    <w:rsid w:val="7D944A1D"/>
    <w:rsid w:val="7DF43212"/>
    <w:rsid w:val="7DFD5530"/>
    <w:rsid w:val="7E266CBD"/>
    <w:rsid w:val="7E622B77"/>
    <w:rsid w:val="7E722009"/>
    <w:rsid w:val="7EB821A8"/>
    <w:rsid w:val="7ED338C0"/>
    <w:rsid w:val="7EE51368"/>
    <w:rsid w:val="7EF664BA"/>
    <w:rsid w:val="7F2B51AB"/>
    <w:rsid w:val="7F3928F0"/>
    <w:rsid w:val="7F48304E"/>
    <w:rsid w:val="7FA73E55"/>
    <w:rsid w:val="7FBF5D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99"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character" w:default="1" w:styleId="14">
    <w:name w:val="Default Paragraph Font"/>
    <w:semiHidden/>
    <w:uiPriority w:val="0"/>
  </w:style>
  <w:style w:type="table" w:default="1" w:styleId="11">
    <w:name w:val="Normal Table"/>
    <w:semiHidden/>
    <w:uiPriority w:val="0"/>
    <w:tblPr>
      <w:tblStyle w:val="11"/>
      <w:tblCellMar>
        <w:top w:w="0" w:type="dxa"/>
        <w:left w:w="108" w:type="dxa"/>
        <w:bottom w:w="0" w:type="dxa"/>
        <w:right w:w="108" w:type="dxa"/>
      </w:tblCellMar>
    </w:tblPr>
  </w:style>
  <w:style w:type="paragraph" w:styleId="2">
    <w:name w:val="annotation text"/>
    <w:basedOn w:val="1"/>
    <w:link w:val="17"/>
    <w:uiPriority w:val="0"/>
    <w:pPr>
      <w:jc w:val="left"/>
    </w:pPr>
  </w:style>
  <w:style w:type="paragraph" w:styleId="3">
    <w:name w:val="Body Text Indent"/>
    <w:basedOn w:val="1"/>
    <w:uiPriority w:val="0"/>
    <w:pPr>
      <w:ind w:firstLine="576"/>
    </w:pPr>
    <w:rPr>
      <w:rFonts w:ascii="仿宋_GB2312" w:eastAsia="仿宋_GB2312"/>
      <w:sz w:val="28"/>
      <w:szCs w:val="24"/>
    </w:rPr>
  </w:style>
  <w:style w:type="paragraph" w:styleId="4">
    <w:name w:val="Plain Text"/>
    <w:basedOn w:val="1"/>
    <w:link w:val="18"/>
    <w:uiPriority w:val="99"/>
    <w:rPr>
      <w:rFonts w:ascii="宋体" w:hAnsi="Courier New"/>
    </w:rPr>
  </w:style>
  <w:style w:type="paragraph" w:styleId="5">
    <w:name w:val="Date"/>
    <w:basedOn w:val="1"/>
    <w:next w:val="1"/>
    <w:uiPriority w:val="0"/>
    <w:pPr>
      <w:adjustRightInd w:val="0"/>
      <w:spacing w:line="312" w:lineRule="atLeast"/>
      <w:jc w:val="right"/>
      <w:textAlignment w:val="baseline"/>
    </w:pPr>
    <w:rPr>
      <w:kern w:val="0"/>
    </w:rPr>
  </w:style>
  <w:style w:type="paragraph" w:styleId="6">
    <w:name w:val="Balloon Text"/>
    <w:basedOn w:val="1"/>
    <w:semiHidden/>
    <w:uiPriority w:val="0"/>
    <w:rPr>
      <w:sz w:val="18"/>
      <w:szCs w:val="18"/>
    </w:rPr>
  </w:style>
  <w:style w:type="paragraph" w:styleId="7">
    <w:name w:val="footer"/>
    <w:basedOn w:val="1"/>
    <w:link w:val="19"/>
    <w:uiPriority w:val="0"/>
    <w:pPr>
      <w:tabs>
        <w:tab w:val="center" w:pos="4153"/>
        <w:tab w:val="right" w:pos="8306"/>
      </w:tabs>
      <w:snapToGrid w:val="0"/>
      <w:jc w:val="left"/>
    </w:pPr>
    <w:rPr>
      <w:sz w:val="18"/>
      <w:szCs w:val="18"/>
    </w:rPr>
  </w:style>
  <w:style w:type="paragraph" w:styleId="8">
    <w:name w:val="header"/>
    <w:basedOn w:val="1"/>
    <w:link w:val="20"/>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paragraph" w:styleId="10">
    <w:name w:val="annotation subject"/>
    <w:basedOn w:val="2"/>
    <w:next w:val="2"/>
    <w:link w:val="21"/>
    <w:uiPriority w:val="0"/>
    <w:rPr>
      <w:b/>
      <w:bCs/>
    </w:rPr>
  </w:style>
  <w:style w:type="table" w:styleId="12">
    <w:name w:val="Table Grid"/>
    <w:basedOn w:val="11"/>
    <w:uiPriority w:val="0"/>
    <w:tblPr>
      <w:tblStyle w:val="1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
    <w:name w:val="Table Classic 1"/>
    <w:basedOn w:val="11"/>
    <w:uiPriority w:val="0"/>
    <w:pPr>
      <w:widowControl w:val="0"/>
      <w:jc w:val="both"/>
    </w:pPr>
    <w:tblPr>
      <w:tblStyle w:val="11"/>
      <w:tblBorders>
        <w:top w:val="single" w:color="000000" w:sz="12" w:space="0"/>
        <w:bottom w:val="single" w:color="000000" w:sz="12" w:space="0"/>
      </w:tblBorders>
    </w:tblPr>
    <w:tcPr>
      <w:shd w:val="clear" w:color="auto" w:fill="auto"/>
    </w:tcPr>
    <w:tblStylePr w:type="firstRow">
      <w:rPr>
        <w:i/>
        <w:iCs/>
      </w:rPr>
      <w:tblPr>
        <w:tblStyle w:val="11"/>
      </w:tblPr>
      <w:tcPr>
        <w:tcBorders>
          <w:top w:val="nil"/>
          <w:left w:val="single" w:color="000000" w:sz="6" w:space="0"/>
          <w:bottom w:val="nil"/>
          <w:right w:val="nil"/>
          <w:insideH w:val="nil"/>
          <w:insideV w:val="nil"/>
          <w:tl2br w:val="nil"/>
          <w:tr2bl w:val="nil"/>
        </w:tcBorders>
      </w:tcPr>
    </w:tblStylePr>
    <w:tblStylePr w:type="lastRow">
      <w:rPr>
        <w:color w:val="auto"/>
      </w:rPr>
      <w:tblPr>
        <w:tblStyle w:val="11"/>
      </w:tblPr>
      <w:tcPr>
        <w:tcBorders>
          <w:top w:val="single" w:color="000000" w:sz="6" w:space="0"/>
          <w:left w:val="nil"/>
          <w:bottom w:val="nil"/>
          <w:right w:val="nil"/>
          <w:insideH w:val="nil"/>
          <w:insideV w:val="nil"/>
          <w:tl2br w:val="nil"/>
          <w:tr2bl w:val="nil"/>
        </w:tcBorders>
      </w:tcPr>
    </w:tblStylePr>
    <w:tblStylePr w:type="firstCol">
      <w:tblPr>
        <w:tblStyle w:val="11"/>
      </w:tblPr>
      <w:tcPr>
        <w:tcBorders>
          <w:top w:val="nil"/>
          <w:left w:val="nil"/>
          <w:bottom w:val="nil"/>
          <w:right w:val="single" w:color="000000" w:sz="6" w:space="0"/>
          <w:insideH w:val="nil"/>
          <w:insideV w:val="nil"/>
          <w:tl2br w:val="nil"/>
          <w:tr2bl w:val="nil"/>
        </w:tcBorders>
      </w:tcPr>
    </w:tblStylePr>
    <w:tblStylePr w:type="neCell">
      <w:rPr>
        <w:b/>
        <w:bCs/>
        <w:i w:val="0"/>
        <w:iCs w:val="0"/>
      </w:rPr>
      <w:tblPr>
        <w:tblStyle w:val="11"/>
      </w:tblPr>
      <w:tcPr>
        <w:tcBorders>
          <w:top w:val="nil"/>
          <w:left w:val="nil"/>
          <w:bottom w:val="nil"/>
          <w:right w:val="nil"/>
          <w:insideH w:val="nil"/>
          <w:insideV w:val="nil"/>
          <w:tl2br w:val="nil"/>
          <w:tr2bl w:val="nil"/>
        </w:tcBorders>
      </w:tcPr>
    </w:tblStylePr>
    <w:tblStylePr w:type="swCell">
      <w:rPr>
        <w:b/>
        <w:bCs/>
      </w:rPr>
      <w:tblPr>
        <w:tblStyle w:val="11"/>
      </w:tblPr>
      <w:tcPr>
        <w:tcBorders>
          <w:top w:val="nil"/>
          <w:left w:val="nil"/>
          <w:bottom w:val="nil"/>
          <w:right w:val="nil"/>
          <w:insideH w:val="nil"/>
          <w:insideV w:val="nil"/>
          <w:tl2br w:val="nil"/>
          <w:tr2bl w:val="nil"/>
        </w:tcBorders>
      </w:tcPr>
    </w:tblStylePr>
  </w:style>
  <w:style w:type="character" w:styleId="15">
    <w:name w:val="Hyperlink"/>
    <w:uiPriority w:val="0"/>
    <w:rPr>
      <w:color w:val="0000FF"/>
      <w:u w:val="single"/>
    </w:rPr>
  </w:style>
  <w:style w:type="character" w:styleId="16">
    <w:name w:val="annotation reference"/>
    <w:uiPriority w:val="0"/>
    <w:rPr>
      <w:sz w:val="21"/>
      <w:szCs w:val="21"/>
    </w:rPr>
  </w:style>
  <w:style w:type="character" w:customStyle="1" w:styleId="17">
    <w:name w:val="批注文字 Char"/>
    <w:link w:val="2"/>
    <w:uiPriority w:val="0"/>
    <w:rPr>
      <w:kern w:val="2"/>
      <w:sz w:val="21"/>
    </w:rPr>
  </w:style>
  <w:style w:type="character" w:customStyle="1" w:styleId="18">
    <w:name w:val="纯文本 Char"/>
    <w:link w:val="4"/>
    <w:uiPriority w:val="99"/>
    <w:rPr>
      <w:rFonts w:ascii="宋体" w:hAnsi="Courier New"/>
      <w:kern w:val="2"/>
      <w:sz w:val="21"/>
    </w:rPr>
  </w:style>
  <w:style w:type="character" w:customStyle="1" w:styleId="19">
    <w:name w:val="页脚 Char"/>
    <w:link w:val="7"/>
    <w:uiPriority w:val="0"/>
    <w:rPr>
      <w:kern w:val="2"/>
      <w:sz w:val="18"/>
      <w:szCs w:val="18"/>
    </w:rPr>
  </w:style>
  <w:style w:type="character" w:customStyle="1" w:styleId="20">
    <w:name w:val="页眉 Char"/>
    <w:link w:val="8"/>
    <w:uiPriority w:val="0"/>
    <w:rPr>
      <w:kern w:val="2"/>
      <w:sz w:val="18"/>
      <w:szCs w:val="18"/>
    </w:rPr>
  </w:style>
  <w:style w:type="character" w:customStyle="1" w:styleId="21">
    <w:name w:val="批注主题 Char"/>
    <w:link w:val="10"/>
    <w:uiPriority w:val="0"/>
    <w:rPr>
      <w:b/>
      <w:bCs/>
      <w:kern w:val="2"/>
      <w:sz w:val="21"/>
    </w:rPr>
  </w:style>
  <w:style w:type="paragraph" w:customStyle="1" w:styleId="22">
    <w:name w:val="CM3"/>
    <w:basedOn w:val="1"/>
    <w:next w:val="1"/>
    <w:uiPriority w:val="0"/>
    <w:pPr>
      <w:autoSpaceDE w:val="0"/>
      <w:autoSpaceDN w:val="0"/>
      <w:adjustRightInd w:val="0"/>
      <w:spacing w:after="468"/>
      <w:jc w:val="left"/>
    </w:pPr>
    <w:rPr>
      <w:rFonts w:ascii="宋体"/>
      <w:kern w:val="0"/>
      <w:sz w:val="24"/>
      <w:szCs w:val="24"/>
    </w:rPr>
  </w:style>
  <w:style w:type="paragraph" w:customStyle="1" w:styleId="23">
    <w:name w:val=" Char Char Char Char Char Char Char Char Char"/>
    <w:basedOn w:val="1"/>
    <w:uiPriority w:val="0"/>
    <w:pPr>
      <w:numPr>
        <w:ilvl w:val="0"/>
        <w:numId w:val="1"/>
      </w:numPr>
    </w:pPr>
    <w:rPr>
      <w:sz w:val="24"/>
      <w:szCs w:val="24"/>
    </w:rPr>
  </w:style>
  <w:style w:type="paragraph" w:customStyle="1" w:styleId="24">
    <w:name w:val="CM2"/>
    <w:basedOn w:val="1"/>
    <w:next w:val="1"/>
    <w:uiPriority w:val="0"/>
    <w:pPr>
      <w:autoSpaceDE w:val="0"/>
      <w:autoSpaceDN w:val="0"/>
      <w:adjustRightInd w:val="0"/>
      <w:spacing w:line="511" w:lineRule="atLeast"/>
      <w:jc w:val="left"/>
    </w:pPr>
    <w:rPr>
      <w:rFonts w:ascii="宋体"/>
      <w:kern w:val="0"/>
      <w:sz w:val="24"/>
      <w:szCs w:val="24"/>
    </w:rPr>
  </w:style>
  <w:style w:type="paragraph" w:customStyle="1" w:styleId="25">
    <w:name w:val="Default"/>
    <w:uiPriority w:val="0"/>
    <w:pPr>
      <w:widowControl w:val="0"/>
      <w:autoSpaceDE w:val="0"/>
      <w:autoSpaceDN w:val="0"/>
      <w:adjustRightInd w:val="0"/>
    </w:pPr>
    <w:rPr>
      <w:rFonts w:ascii="宋体" w:hAnsi="Calibri" w:cs="宋体"/>
      <w:color w:val="000000"/>
      <w:sz w:val="24"/>
      <w:szCs w:val="24"/>
      <w:lang w:val="en-US" w:eastAsia="zh-CN" w:bidi="ar-SA"/>
    </w:rPr>
  </w:style>
  <w:style w:type="character" w:customStyle="1" w:styleId="26">
    <w:name w:val="fontstyle01"/>
    <w:uiPriority w:val="0"/>
    <w:rPr>
      <w:rFonts w:hint="eastAsia" w:ascii="宋体" w:hAnsi="宋体" w:eastAsia="宋体"/>
      <w:color w:val="000000"/>
      <w:sz w:val="24"/>
      <w:szCs w:val="24"/>
    </w:rPr>
  </w:style>
  <w:style w:type="paragraph" w:customStyle="1" w:styleId="27">
    <w:name w:val="CM11"/>
    <w:basedOn w:val="1"/>
    <w:next w:val="1"/>
    <w:uiPriority w:val="0"/>
    <w:pPr>
      <w:autoSpaceDE w:val="0"/>
      <w:autoSpaceDN w:val="0"/>
      <w:adjustRightInd w:val="0"/>
      <w:spacing w:line="626" w:lineRule="atLeast"/>
      <w:jc w:val="left"/>
    </w:pPr>
    <w:rPr>
      <w:rFonts w:ascii="仿宋_GB2312" w:eastAsia="仿宋_GB2312"/>
      <w:kern w:val="0"/>
      <w:sz w:val="24"/>
      <w:szCs w:val="24"/>
    </w:rPr>
  </w:style>
  <w:style w:type="paragraph" w:customStyle="1" w:styleId="28">
    <w:name w:val="CM10"/>
    <w:basedOn w:val="25"/>
    <w:next w:val="25"/>
    <w:uiPriority w:val="0"/>
    <w:pPr>
      <w:spacing w:after="723"/>
    </w:pPr>
    <w:rPr>
      <w:rFonts w:ascii="黑体" w:hAnsi="Times New Roman" w:eastAsia="黑体" w:cs="Times New Roman"/>
      <w:color w:val="auto"/>
    </w:rPr>
  </w:style>
  <w:style w:type="paragraph" w:styleId="29">
    <w:name w:val="List Paragraph"/>
    <w:basedOn w:val="1"/>
    <w:qFormat/>
    <w:uiPriority w:val="34"/>
    <w:pPr>
      <w:ind w:firstLine="420" w:firstLineChars="200"/>
    </w:pPr>
  </w:style>
  <w:style w:type="character" w:customStyle="1" w:styleId="30">
    <w:name w:val="font31"/>
    <w:basedOn w:val="14"/>
    <w:uiPriority w:val="0"/>
    <w:rPr>
      <w:rFonts w:ascii="Arial" w:hAnsi="Arial" w:cs="Arial"/>
      <w:color w:val="262424"/>
      <w:sz w:val="22"/>
      <w:szCs w:val="22"/>
      <w:u w:val="none"/>
    </w:rPr>
  </w:style>
  <w:style w:type="character" w:customStyle="1" w:styleId="31">
    <w:name w:val="font21"/>
    <w:basedOn w:val="14"/>
    <w:uiPriority w:val="0"/>
    <w:rPr>
      <w:rFonts w:hint="eastAsia" w:ascii="黑体" w:hAnsi="宋体" w:eastAsia="黑体" w:cs="黑体"/>
      <w:color w:val="262424"/>
      <w:sz w:val="22"/>
      <w:szCs w:val="22"/>
      <w:u w:val="none"/>
    </w:rPr>
  </w:style>
  <w:style w:type="character" w:customStyle="1" w:styleId="32">
    <w:name w:val="font01"/>
    <w:basedOn w:val="14"/>
    <w:uiPriority w:val="0"/>
    <w:rPr>
      <w:rFonts w:ascii="Arial" w:hAnsi="Arial" w:cs="Arial"/>
      <w:color w:val="262424"/>
      <w:sz w:val="18"/>
      <w:szCs w:val="18"/>
      <w:u w:val="none"/>
    </w:rPr>
  </w:style>
  <w:style w:type="character" w:customStyle="1" w:styleId="33">
    <w:name w:val="font11"/>
    <w:basedOn w:val="14"/>
    <w:uiPriority w:val="0"/>
    <w:rPr>
      <w:rFonts w:hint="eastAsia" w:ascii="宋体" w:hAnsi="宋体" w:eastAsia="宋体" w:cs="宋体"/>
      <w:color w:val="262424"/>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188</Words>
  <Characters>1072</Characters>
  <Lines>8</Lines>
  <Paragraphs>2</Paragraphs>
  <TotalTime>0</TotalTime>
  <ScaleCrop>false</ScaleCrop>
  <LinksUpToDate>false</LinksUpToDate>
  <CharactersWithSpaces>1258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2020-07-06T01:21:00Z</dcterms:created>
  <dc:creator>qw</dc:creator>
  <cp:lastModifiedBy>海涛</cp:lastModifiedBy>
  <cp:lastPrinted>2017-05-27T01:49:00Z</cp:lastPrinted>
  <dcterms:modified xsi:type="dcterms:W3CDTF">2023-10-10T07:17:35Z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4F26FE6787FB4A3B9CD50D0F9CF52B32_13</vt:lpwstr>
  </property>
</Properties>
</file>