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after="156" w:afterLines="50"/>
        <w:rPr>
          <w:rFonts w:hint="eastAsia" w:ascii="Times New Roman" w:hAnsi="Times New Roman" w:eastAsia="宋体" w:cs="宋体"/>
          <w:bCs/>
          <w:sz w:val="24"/>
          <w:lang w:eastAsia="zh-CN" w:bidi="ar"/>
        </w:rPr>
      </w:pPr>
      <w:r>
        <w:rPr>
          <w:rFonts w:hint="eastAsia" w:ascii="Times New Roman" w:hAnsi="Times New Roman" w:eastAsia="宋体" w:cs="宋体"/>
          <w:bCs/>
          <w:sz w:val="24"/>
          <w:lang w:bidi="ar"/>
        </w:rPr>
        <w:t>证券代码：000881         证券简称：中广核技           公告编号：2023-08</w:t>
      </w:r>
      <w:r>
        <w:rPr>
          <w:rFonts w:hint="eastAsia" w:ascii="Times New Roman" w:hAnsi="Times New Roman" w:eastAsia="宋体" w:cs="宋体"/>
          <w:bCs/>
          <w:sz w:val="24"/>
          <w:lang w:val="en-US" w:eastAsia="zh-CN" w:bidi="ar"/>
        </w:rPr>
        <w:t>6</w:t>
      </w:r>
    </w:p>
    <w:p>
      <w:pPr>
        <w:autoSpaceDE w:val="0"/>
        <w:autoSpaceDN w:val="0"/>
        <w:adjustRightInd w:val="0"/>
        <w:jc w:val="center"/>
        <w:rPr>
          <w:rFonts w:ascii="宋体" w:hAnsi="宋体" w:eastAsia="宋体" w:cs="宋体"/>
          <w:b/>
          <w:sz w:val="36"/>
          <w:szCs w:val="36"/>
        </w:rPr>
      </w:pPr>
      <w:r>
        <w:rPr>
          <w:rFonts w:hint="eastAsia" w:ascii="宋体" w:hAnsi="宋体" w:eastAsia="宋体" w:cs="宋体"/>
          <w:b/>
          <w:sz w:val="36"/>
          <w:szCs w:val="36"/>
          <w:lang w:bidi="ar"/>
        </w:rPr>
        <w:t>中广核核技术发展股份有限公司</w:t>
      </w:r>
    </w:p>
    <w:p>
      <w:pPr>
        <w:autoSpaceDE w:val="0"/>
        <w:autoSpaceDN w:val="0"/>
        <w:adjustRightInd w:val="0"/>
        <w:jc w:val="center"/>
        <w:rPr>
          <w:rFonts w:ascii="宋体" w:hAnsi="宋体" w:eastAsia="宋体" w:cs="宋体"/>
          <w:b/>
          <w:sz w:val="36"/>
          <w:szCs w:val="36"/>
        </w:rPr>
      </w:pPr>
      <w:r>
        <w:rPr>
          <w:rFonts w:hint="eastAsia" w:ascii="宋体" w:hAnsi="宋体" w:eastAsia="宋体" w:cs="宋体"/>
          <w:b/>
          <w:sz w:val="36"/>
          <w:szCs w:val="36"/>
          <w:lang w:bidi="ar"/>
        </w:rPr>
        <w:t>关于发行股份及支付现金购买资产并募集配套资金暨关联交易报告书修订说明的公告</w:t>
      </w:r>
    </w:p>
    <w:p>
      <w:pPr>
        <w:pStyle w:val="7"/>
        <w:widowControl/>
        <w:spacing w:before="312" w:beforeLines="100"/>
        <w:ind w:firstLine="422"/>
        <w:rPr>
          <w:rFonts w:ascii="宋体" w:hAnsi="宋体" w:cs="宋体"/>
          <w:b/>
          <w:bCs/>
          <w:sz w:val="21"/>
          <w:szCs w:val="21"/>
        </w:rPr>
      </w:pPr>
      <w:r>
        <w:rPr>
          <w:rFonts w:hint="eastAsia" w:ascii="宋体" w:hAnsi="宋体" w:cs="宋体"/>
          <w:b/>
          <w:bCs/>
          <w:sz w:val="21"/>
          <w:szCs w:val="21"/>
        </w:rPr>
        <w:t>本公司及董事会全体成员保证信息披露的内容真实、准确、完整，没有虚假记载、误导性陈述或者重大遗漏。</w:t>
      </w:r>
    </w:p>
    <w:p>
      <w:pPr>
        <w:pStyle w:val="7"/>
        <w:widowControl/>
        <w:spacing w:before="156"/>
        <w:ind w:firstLine="480"/>
      </w:pPr>
      <w:r>
        <w:rPr>
          <w:rFonts w:hint="eastAsia" w:cs="宋体"/>
        </w:rPr>
        <w:t>中广核核技术发展股份有限公司（以下简称</w:t>
      </w:r>
      <w:r>
        <w:rPr>
          <w:rFonts w:hint="eastAsia" w:ascii="宋体" w:hAnsi="宋体" w:cs="宋体"/>
        </w:rPr>
        <w:t>“</w:t>
      </w:r>
      <w:r>
        <w:rPr>
          <w:rFonts w:hint="eastAsia" w:cs="宋体"/>
        </w:rPr>
        <w:t>中广核技</w:t>
      </w:r>
      <w:r>
        <w:rPr>
          <w:rFonts w:hint="eastAsia" w:ascii="宋体" w:hAnsi="宋体" w:cs="宋体"/>
        </w:rPr>
        <w:t>”</w:t>
      </w:r>
      <w:r>
        <w:rPr>
          <w:rFonts w:hint="eastAsia" w:cs="宋体"/>
        </w:rPr>
        <w:t>、</w:t>
      </w:r>
      <w:r>
        <w:rPr>
          <w:rFonts w:hint="eastAsia" w:ascii="宋体" w:hAnsi="宋体" w:cs="宋体"/>
        </w:rPr>
        <w:t>“</w:t>
      </w:r>
      <w:r>
        <w:rPr>
          <w:rFonts w:hint="eastAsia" w:cs="宋体"/>
        </w:rPr>
        <w:t>公司</w:t>
      </w:r>
      <w:r>
        <w:rPr>
          <w:rFonts w:hint="eastAsia" w:ascii="宋体" w:hAnsi="宋体" w:cs="宋体"/>
        </w:rPr>
        <w:t>”</w:t>
      </w:r>
      <w:r>
        <w:rPr>
          <w:rFonts w:hint="eastAsia" w:cs="宋体"/>
        </w:rPr>
        <w:t>或</w:t>
      </w:r>
      <w:r>
        <w:rPr>
          <w:rFonts w:hint="eastAsia" w:ascii="宋体" w:hAnsi="宋体" w:cs="宋体"/>
        </w:rPr>
        <w:t>“</w:t>
      </w:r>
      <w:r>
        <w:rPr>
          <w:rFonts w:hint="eastAsia" w:cs="宋体"/>
        </w:rPr>
        <w:t>上市公司</w:t>
      </w:r>
      <w:r>
        <w:rPr>
          <w:rFonts w:hint="eastAsia" w:ascii="宋体" w:hAnsi="宋体" w:cs="宋体"/>
        </w:rPr>
        <w:t>”</w:t>
      </w:r>
      <w:r>
        <w:rPr>
          <w:rFonts w:hint="eastAsia" w:cs="宋体"/>
        </w:rPr>
        <w:t>）拟通过发行股份及支付现金的方式向吉安云科通及中广核核技术购买贝谷科技</w:t>
      </w:r>
      <w:r>
        <w:t>79.00%</w:t>
      </w:r>
      <w:r>
        <w:rPr>
          <w:rFonts w:hint="eastAsia" w:cs="宋体"/>
        </w:rPr>
        <w:t>股权，同时向中广核核技术发行股份募集配套资金。</w:t>
      </w:r>
      <w:r>
        <w:t>2023</w:t>
      </w:r>
      <w:r>
        <w:rPr>
          <w:rFonts w:hint="eastAsia" w:cs="宋体"/>
        </w:rPr>
        <w:t>年</w:t>
      </w:r>
      <w:r>
        <w:t>8</w:t>
      </w:r>
      <w:r>
        <w:rPr>
          <w:rFonts w:hint="eastAsia" w:cs="宋体"/>
        </w:rPr>
        <w:t>月</w:t>
      </w:r>
      <w:r>
        <w:t>28</w:t>
      </w:r>
      <w:r>
        <w:rPr>
          <w:rFonts w:hint="eastAsia" w:cs="宋体"/>
        </w:rPr>
        <w:t>日，公司披露了《中广核核技术发展股份有限公司发行股份及支付现金购买资产并募集配套资金暨关联交易报告书（草案）（修订稿）》（以下简称</w:t>
      </w:r>
      <w:r>
        <w:rPr>
          <w:rFonts w:hint="eastAsia" w:ascii="宋体" w:hAnsi="宋体" w:cs="宋体"/>
        </w:rPr>
        <w:t>“</w:t>
      </w:r>
      <w:r>
        <w:rPr>
          <w:rFonts w:hint="eastAsia" w:cs="宋体"/>
        </w:rPr>
        <w:t>重组报告书</w:t>
      </w:r>
      <w:r>
        <w:rPr>
          <w:rFonts w:hint="eastAsia" w:ascii="宋体" w:hAnsi="宋体" w:cs="宋体"/>
        </w:rPr>
        <w:t>”</w:t>
      </w:r>
      <w:r>
        <w:rPr>
          <w:rFonts w:hint="eastAsia" w:cs="宋体"/>
        </w:rPr>
        <w:t>），并于</w:t>
      </w:r>
      <w:r>
        <w:t>2023</w:t>
      </w:r>
      <w:r>
        <w:rPr>
          <w:rFonts w:hint="eastAsia" w:cs="宋体"/>
        </w:rPr>
        <w:t>年</w:t>
      </w:r>
      <w:r>
        <w:t>9</w:t>
      </w:r>
      <w:r>
        <w:rPr>
          <w:rFonts w:hint="eastAsia" w:cs="宋体"/>
        </w:rPr>
        <w:t>月</w:t>
      </w:r>
      <w:r>
        <w:t>5</w:t>
      </w:r>
      <w:r>
        <w:rPr>
          <w:rFonts w:hint="eastAsia" w:cs="宋体"/>
        </w:rPr>
        <w:t>日收到深圳证券交易所上市公司管理二部下发的《关于对中广核核技术发展股份有限公司发行股份及支付现金购买资产并募集配套资金暨关联交易的问询函》（并购重组问询函〔</w:t>
      </w:r>
      <w:r>
        <w:t>2023</w:t>
      </w:r>
      <w:r>
        <w:rPr>
          <w:rFonts w:hint="eastAsia" w:cs="宋体"/>
        </w:rPr>
        <w:t>〕第</w:t>
      </w:r>
      <w:r>
        <w:t>22</w:t>
      </w:r>
      <w:r>
        <w:rPr>
          <w:rFonts w:hint="eastAsia" w:cs="宋体"/>
        </w:rPr>
        <w:t>号，以下简称</w:t>
      </w:r>
      <w:r>
        <w:rPr>
          <w:rFonts w:hint="eastAsia" w:ascii="宋体" w:hAnsi="宋体" w:cs="宋体"/>
        </w:rPr>
        <w:t>“</w:t>
      </w:r>
      <w:r>
        <w:rPr>
          <w:rFonts w:hint="eastAsia" w:cs="宋体"/>
        </w:rPr>
        <w:t>问询函</w:t>
      </w:r>
      <w:r>
        <w:rPr>
          <w:rFonts w:hint="eastAsia" w:ascii="宋体" w:hAnsi="宋体" w:cs="宋体"/>
        </w:rPr>
        <w:t>”</w:t>
      </w:r>
      <w:r>
        <w:rPr>
          <w:rFonts w:hint="eastAsia" w:cs="宋体"/>
        </w:rPr>
        <w:t>）。公司会同中介机构对问询函所述问题进行了书面回复。</w:t>
      </w:r>
      <w:r>
        <w:t xml:space="preserve"> </w:t>
      </w:r>
    </w:p>
    <w:p>
      <w:pPr>
        <w:pStyle w:val="7"/>
        <w:widowControl/>
        <w:spacing w:before="156"/>
        <w:ind w:firstLine="480"/>
      </w:pPr>
      <w:r>
        <w:rPr>
          <w:rFonts w:hint="eastAsia" w:cs="宋体"/>
        </w:rPr>
        <w:t>根据问询函的相关要求，公司对报告书及其摘要进行了修订和更新，修订内容的主要差异说明如下：</w:t>
      </w:r>
    </w:p>
    <w:p>
      <w:pPr>
        <w:pStyle w:val="7"/>
        <w:widowControl/>
        <w:spacing w:before="156"/>
        <w:ind w:firstLine="480"/>
      </w:pPr>
      <w:r>
        <w:t>1</w:t>
      </w:r>
      <w:r>
        <w:rPr>
          <w:rFonts w:hint="eastAsia" w:cs="宋体"/>
        </w:rPr>
        <w:t>、在《重组报告书》的“重大事项提示”之“五、本次重组尚未履行的决策程序及报批程序”中补充披露了中国广核集团审批及经营者集中审查的进展情况及预计完成时间。</w:t>
      </w:r>
    </w:p>
    <w:p>
      <w:pPr>
        <w:pStyle w:val="7"/>
        <w:widowControl/>
        <w:spacing w:before="156"/>
        <w:ind w:firstLine="480"/>
        <w:rPr>
          <w:rFonts w:cs="宋体"/>
        </w:rPr>
      </w:pPr>
      <w:r>
        <w:t>2</w:t>
      </w:r>
      <w:r>
        <w:rPr>
          <w:rFonts w:hint="eastAsia" w:cs="宋体"/>
        </w:rPr>
        <w:t>、</w:t>
      </w:r>
      <w:bookmarkStart w:id="0" w:name="_Hlk146030192"/>
      <w:r>
        <w:rPr>
          <w:rFonts w:hint="eastAsia" w:cs="宋体"/>
        </w:rPr>
        <w:t>在《重组报告书》的“重大事项提示”之“一、本次交易方案的调整”之“（四）对重组方案进行调整的原因”中补充披露了取消与久源公司交易的原因。</w:t>
      </w:r>
      <w:bookmarkEnd w:id="0"/>
    </w:p>
    <w:p>
      <w:pPr>
        <w:pStyle w:val="7"/>
        <w:widowControl/>
        <w:spacing w:before="156"/>
        <w:ind w:firstLine="480"/>
      </w:pPr>
      <w:r>
        <w:rPr>
          <w:rFonts w:cs="宋体"/>
        </w:rPr>
        <w:t>3</w:t>
      </w:r>
      <w:r>
        <w:rPr>
          <w:rFonts w:hint="eastAsia" w:cs="宋体"/>
        </w:rPr>
        <w:t>、在《重组报告书》的“重大风险提示”及“第十二节 风险因素”之“二、与标的资产相关的风险”中补充披露了最新经营业绩不及历史同期的风险、未来业绩增长不及评估预测的风险。</w:t>
      </w:r>
    </w:p>
    <w:p>
      <w:pPr>
        <w:pStyle w:val="7"/>
        <w:widowControl/>
        <w:spacing w:before="156"/>
        <w:ind w:firstLine="480"/>
      </w:pPr>
      <w:r>
        <w:t>4</w:t>
      </w:r>
      <w:r>
        <w:rPr>
          <w:rFonts w:hint="eastAsia" w:cs="宋体"/>
        </w:rPr>
        <w:t>、在《重组报告书》的“第四节</w:t>
      </w:r>
      <w:r>
        <w:t xml:space="preserve"> </w:t>
      </w:r>
      <w:r>
        <w:rPr>
          <w:rFonts w:hint="eastAsia" w:cs="宋体"/>
        </w:rPr>
        <w:t>交易标的基本情况</w:t>
      </w:r>
      <w:r>
        <w:rPr>
          <w:rFonts w:hint="eastAsia"/>
        </w:rPr>
        <w:t>”</w:t>
      </w:r>
      <w:r>
        <w:rPr>
          <w:rFonts w:hint="eastAsia" w:cs="宋体"/>
        </w:rPr>
        <w:t>之</w:t>
      </w:r>
      <w:r>
        <w:rPr>
          <w:rFonts w:hint="eastAsia"/>
        </w:rPr>
        <w:t>“</w:t>
      </w:r>
      <w:r>
        <w:rPr>
          <w:rFonts w:hint="eastAsia" w:cs="宋体"/>
        </w:rPr>
        <w:t>二、历史沿革及最近三年股权转让、增资情况</w:t>
      </w:r>
      <w:r>
        <w:rPr>
          <w:rFonts w:hint="eastAsia"/>
        </w:rPr>
        <w:t>”</w:t>
      </w:r>
      <w:r>
        <w:rPr>
          <w:rFonts w:hint="eastAsia" w:cs="宋体"/>
        </w:rPr>
        <w:t>之</w:t>
      </w:r>
      <w:r>
        <w:rPr>
          <w:rFonts w:hint="eastAsia"/>
        </w:rPr>
        <w:t>“</w:t>
      </w:r>
      <w:r>
        <w:rPr>
          <w:rFonts w:hint="eastAsia" w:cs="宋体"/>
        </w:rPr>
        <w:t>（三）最近三年增减资及股权转让情况</w:t>
      </w:r>
      <w:r>
        <w:rPr>
          <w:rFonts w:hint="eastAsia"/>
        </w:rPr>
        <w:t>”</w:t>
      </w:r>
      <w:r>
        <w:rPr>
          <w:rFonts w:hint="eastAsia" w:cs="宋体"/>
        </w:rPr>
        <w:t>中补充披露了相关股权转让涉及的款项支付进度，标的资产权属是否清晰的情况。</w:t>
      </w:r>
    </w:p>
    <w:p>
      <w:pPr>
        <w:pStyle w:val="7"/>
        <w:widowControl/>
        <w:spacing w:before="156"/>
        <w:ind w:firstLine="480"/>
      </w:pPr>
      <w:r>
        <w:t>5</w:t>
      </w:r>
      <w:r>
        <w:rPr>
          <w:rFonts w:hint="eastAsia" w:cs="宋体"/>
        </w:rPr>
        <w:t>、在《重组报告书》的“第四节</w:t>
      </w:r>
      <w:r>
        <w:t xml:space="preserve"> </w:t>
      </w:r>
      <w:r>
        <w:rPr>
          <w:rFonts w:hint="eastAsia" w:cs="宋体"/>
        </w:rPr>
        <w:t>交易标的基本情况</w:t>
      </w:r>
      <w:r>
        <w:rPr>
          <w:rFonts w:hint="eastAsia"/>
        </w:rPr>
        <w:t>”</w:t>
      </w:r>
      <w:r>
        <w:rPr>
          <w:rFonts w:hint="eastAsia" w:cs="宋体"/>
        </w:rPr>
        <w:t>之</w:t>
      </w:r>
      <w:r>
        <w:rPr>
          <w:rFonts w:hint="eastAsia"/>
        </w:rPr>
        <w:t>“</w:t>
      </w:r>
      <w:r>
        <w:rPr>
          <w:rFonts w:hint="eastAsia" w:cs="宋体"/>
        </w:rPr>
        <w:t>八、主要生产经营资质</w:t>
      </w:r>
      <w:r>
        <w:rPr>
          <w:rFonts w:hint="eastAsia"/>
        </w:rPr>
        <w:t>”</w:t>
      </w:r>
      <w:r>
        <w:rPr>
          <w:rFonts w:hint="eastAsia" w:cs="宋体"/>
        </w:rPr>
        <w:t>中补充披露了取得从事相关生产经营活动所必需的行政许可、备案、注册或者认证等情况以及相关资质续期进展情况、预计办毕期限、是否存在法律障碍及逾期未办毕的影响。</w:t>
      </w:r>
    </w:p>
    <w:p>
      <w:pPr>
        <w:pStyle w:val="7"/>
        <w:widowControl/>
        <w:spacing w:before="156"/>
        <w:ind w:firstLine="480"/>
        <w:rPr>
          <w:rFonts w:cs="宋体"/>
        </w:rPr>
      </w:pPr>
      <w:r>
        <w:t>6</w:t>
      </w:r>
      <w:r>
        <w:rPr>
          <w:rFonts w:hint="eastAsia" w:cs="宋体"/>
        </w:rPr>
        <w:t>、在《重组报告书》的“第五节</w:t>
      </w:r>
      <w:r>
        <w:t xml:space="preserve"> </w:t>
      </w:r>
      <w:r>
        <w:rPr>
          <w:rFonts w:hint="eastAsia" w:cs="宋体"/>
        </w:rPr>
        <w:t>交易标的评估情况</w:t>
      </w:r>
      <w:r>
        <w:rPr>
          <w:rFonts w:hint="eastAsia"/>
        </w:rPr>
        <w:t>”</w:t>
      </w:r>
      <w:r>
        <w:rPr>
          <w:rFonts w:hint="eastAsia" w:cs="宋体"/>
        </w:rPr>
        <w:t>之</w:t>
      </w:r>
      <w:r>
        <w:rPr>
          <w:rFonts w:hint="eastAsia"/>
        </w:rPr>
        <w:t>“</w:t>
      </w:r>
      <w:r>
        <w:rPr>
          <w:rFonts w:hint="eastAsia" w:cs="宋体"/>
        </w:rPr>
        <w:t>一、贝谷科技股权评估情况</w:t>
      </w:r>
      <w:r>
        <w:rPr>
          <w:rFonts w:hint="eastAsia"/>
        </w:rPr>
        <w:t>”</w:t>
      </w:r>
      <w:r>
        <w:rPr>
          <w:rFonts w:hint="eastAsia" w:cs="宋体"/>
        </w:rPr>
        <w:t>之</w:t>
      </w:r>
      <w:r>
        <w:rPr>
          <w:rFonts w:hint="eastAsia"/>
        </w:rPr>
        <w:t>“</w:t>
      </w:r>
      <w:r>
        <w:rPr>
          <w:rFonts w:hint="eastAsia" w:cs="宋体"/>
        </w:rPr>
        <w:t>（三）收益法评估情况</w:t>
      </w:r>
      <w:r>
        <w:rPr>
          <w:rFonts w:hint="eastAsia"/>
        </w:rPr>
        <w:t>”</w:t>
      </w:r>
      <w:r>
        <w:rPr>
          <w:rFonts w:hint="eastAsia" w:cs="宋体"/>
        </w:rPr>
        <w:t>中补充披露了最近一期贝谷科技业绩与历史数据及同行业公司的比较情况、预测期内营业收入持续增长的可实现性、预测期内毛利率维持稳定的合理性、溢余资金测算的过程及依据的合理性。</w:t>
      </w:r>
    </w:p>
    <w:p>
      <w:pPr>
        <w:pStyle w:val="7"/>
        <w:widowControl/>
        <w:spacing w:before="156"/>
        <w:ind w:firstLine="480"/>
      </w:pPr>
      <w:r>
        <w:t>7</w:t>
      </w:r>
      <w:r>
        <w:rPr>
          <w:rFonts w:hint="eastAsia" w:cs="宋体"/>
        </w:rPr>
        <w:t>、在《重组报告书》的“第十一节</w:t>
      </w:r>
      <w:r>
        <w:t xml:space="preserve"> </w:t>
      </w:r>
      <w:r>
        <w:rPr>
          <w:rFonts w:hint="eastAsia" w:cs="宋体"/>
        </w:rPr>
        <w:t>关联交易与同业竞争</w:t>
      </w:r>
      <w:r>
        <w:rPr>
          <w:rFonts w:hint="eastAsia"/>
        </w:rPr>
        <w:t>”</w:t>
      </w:r>
      <w:r>
        <w:rPr>
          <w:rFonts w:hint="eastAsia" w:cs="宋体"/>
        </w:rPr>
        <w:t>之</w:t>
      </w:r>
      <w:r>
        <w:rPr>
          <w:rFonts w:hint="eastAsia"/>
        </w:rPr>
        <w:t>“</w:t>
      </w:r>
      <w:r>
        <w:rPr>
          <w:rFonts w:hint="eastAsia" w:cs="宋体"/>
        </w:rPr>
        <w:t>一、关联交易</w:t>
      </w:r>
      <w:r>
        <w:rPr>
          <w:rFonts w:hint="eastAsia"/>
        </w:rPr>
        <w:t>”</w:t>
      </w:r>
      <w:r>
        <w:rPr>
          <w:rFonts w:hint="eastAsia" w:cs="宋体"/>
        </w:rPr>
        <w:t>之</w:t>
      </w:r>
      <w:r>
        <w:rPr>
          <w:rFonts w:hint="eastAsia"/>
        </w:rPr>
        <w:t>“</w:t>
      </w:r>
      <w:r>
        <w:rPr>
          <w:rFonts w:hint="eastAsia" w:cs="宋体"/>
        </w:rPr>
        <w:t>（一）本次交易前，标的公司的关联交易情况</w:t>
      </w:r>
      <w:r>
        <w:rPr>
          <w:rFonts w:hint="eastAsia"/>
        </w:rPr>
        <w:t>”</w:t>
      </w:r>
      <w:r>
        <w:rPr>
          <w:rFonts w:hint="eastAsia" w:cs="宋体"/>
        </w:rPr>
        <w:t>中补充披露了贝谷科技报告期内关联交易的原因和必要性、定价公允性，以及上市公司为规范及减少关联交易、保证关联交易价格公允拟采取的具体措施及有效性。</w:t>
      </w:r>
    </w:p>
    <w:p>
      <w:pPr>
        <w:pStyle w:val="7"/>
        <w:widowControl/>
        <w:spacing w:before="156"/>
        <w:ind w:firstLine="480"/>
        <w:rPr>
          <w:rFonts w:cs="宋体"/>
        </w:rPr>
      </w:pPr>
      <w:r>
        <w:rPr>
          <w:rFonts w:hint="eastAsia" w:cs="宋体"/>
        </w:rPr>
        <w:t>具体修订内容详见公司在深圳证券交易所法定信息披露平台上披露的《中广核核技术发展股份有限公司对深圳证券交易所&lt;关于对中广核核技术发展股份有限公司发行股份及支付现金购买资产并募集配套资金暨关联交易的问询函&gt;的回复》及《中广核核技术发展股份有限公司发行股份及支付现金购买资产并募集配套资金暨关联交易报告书（草案）（修订稿）》及其摘要中的相关内容。</w:t>
      </w:r>
    </w:p>
    <w:p>
      <w:pPr>
        <w:pStyle w:val="7"/>
        <w:widowControl/>
        <w:spacing w:before="156"/>
        <w:ind w:firstLine="480"/>
        <w:rPr>
          <w:rFonts w:cs="宋体"/>
        </w:rPr>
      </w:pPr>
      <w:r>
        <w:rPr>
          <w:rFonts w:hint="eastAsia" w:cs="宋体"/>
        </w:rPr>
        <w:t>特此公告。</w:t>
      </w:r>
    </w:p>
    <w:p>
      <w:pPr>
        <w:pStyle w:val="7"/>
        <w:widowControl/>
        <w:spacing w:before="156"/>
        <w:ind w:firstLine="480"/>
        <w:rPr>
          <w:rFonts w:cs="宋体"/>
        </w:rPr>
      </w:pPr>
    </w:p>
    <w:p>
      <w:pPr>
        <w:pStyle w:val="7"/>
        <w:widowControl/>
        <w:spacing w:before="156"/>
        <w:ind w:firstLine="480"/>
        <w:rPr>
          <w:rFonts w:cs="宋体"/>
        </w:rPr>
      </w:pPr>
    </w:p>
    <w:p>
      <w:pPr>
        <w:spacing w:line="360" w:lineRule="auto"/>
        <w:jc w:val="right"/>
        <w:rPr>
          <w:rFonts w:ascii="Times New Roman" w:hAnsi="Times New Roman" w:eastAsia="宋体" w:cs="宋体"/>
          <w:b/>
          <w:bCs/>
          <w:sz w:val="24"/>
          <w:szCs w:val="22"/>
          <w:lang w:bidi="ar"/>
        </w:rPr>
      </w:pPr>
      <w:r>
        <w:rPr>
          <w:rFonts w:hint="eastAsia" w:ascii="Times New Roman" w:hAnsi="Times New Roman" w:eastAsia="宋体" w:cs="宋体"/>
          <w:b/>
          <w:bCs/>
          <w:sz w:val="24"/>
          <w:szCs w:val="22"/>
          <w:lang w:bidi="ar"/>
        </w:rPr>
        <w:t>中广核核技术发展股份有限公司</w:t>
      </w:r>
    </w:p>
    <w:p>
      <w:pPr>
        <w:spacing w:line="360" w:lineRule="auto"/>
        <w:jc w:val="right"/>
        <w:rPr>
          <w:rFonts w:ascii="Times New Roman" w:hAnsi="Times New Roman" w:eastAsia="宋体" w:cs="宋体"/>
          <w:b/>
          <w:bCs/>
          <w:sz w:val="24"/>
          <w:szCs w:val="22"/>
          <w:lang w:bidi="ar"/>
        </w:rPr>
      </w:pPr>
      <w:r>
        <w:rPr>
          <w:rFonts w:hint="eastAsia" w:ascii="Times New Roman" w:hAnsi="Times New Roman" w:eastAsia="宋体" w:cs="宋体"/>
          <w:b/>
          <w:bCs/>
          <w:sz w:val="24"/>
          <w:szCs w:val="22"/>
          <w:lang w:bidi="ar"/>
        </w:rPr>
        <w:t>董事会</w:t>
      </w:r>
    </w:p>
    <w:p>
      <w:pPr>
        <w:spacing w:line="360" w:lineRule="auto"/>
        <w:jc w:val="right"/>
        <w:rPr>
          <w:rFonts w:ascii="Times New Roman" w:hAnsi="Times New Roman" w:eastAsia="宋体" w:cs="宋体"/>
          <w:b/>
          <w:bCs/>
          <w:sz w:val="24"/>
          <w:szCs w:val="22"/>
          <w:lang w:bidi="ar"/>
        </w:rPr>
      </w:pPr>
      <w:r>
        <w:rPr>
          <w:rFonts w:hint="eastAsia" w:ascii="Times New Roman" w:hAnsi="Times New Roman" w:eastAsia="宋体" w:cs="宋体"/>
          <w:b/>
          <w:bCs/>
          <w:sz w:val="24"/>
          <w:szCs w:val="22"/>
          <w:lang w:bidi="ar"/>
        </w:rPr>
        <w:t>2023年9月</w:t>
      </w:r>
      <w:r>
        <w:rPr>
          <w:rFonts w:ascii="Times New Roman" w:hAnsi="Times New Roman" w:eastAsia="宋体" w:cs="宋体"/>
          <w:b/>
          <w:bCs/>
          <w:sz w:val="24"/>
          <w:szCs w:val="22"/>
          <w:lang w:bidi="ar"/>
        </w:rPr>
        <w:t>2</w:t>
      </w:r>
      <w:r>
        <w:rPr>
          <w:rFonts w:hint="eastAsia" w:ascii="Times New Roman" w:hAnsi="Times New Roman" w:eastAsia="宋体" w:cs="宋体"/>
          <w:b/>
          <w:bCs/>
          <w:sz w:val="24"/>
          <w:szCs w:val="22"/>
          <w:lang w:val="en-US" w:eastAsia="zh-CN" w:bidi="ar"/>
        </w:rPr>
        <w:t>7</w:t>
      </w:r>
      <w:bookmarkStart w:id="1" w:name="_GoBack"/>
      <w:bookmarkEnd w:id="1"/>
      <w:r>
        <w:rPr>
          <w:rFonts w:hint="eastAsia" w:ascii="Times New Roman" w:hAnsi="Times New Roman" w:eastAsia="宋体" w:cs="宋体"/>
          <w:b/>
          <w:bCs/>
          <w:sz w:val="24"/>
          <w:szCs w:val="22"/>
          <w:lang w:bidi="ar"/>
        </w:rPr>
        <w:t>日</w:t>
      </w:r>
    </w:p>
    <w:p>
      <w:pPr>
        <w:spacing w:line="360" w:lineRule="auto"/>
        <w:jc w:val="right"/>
        <w:rPr>
          <w:rFonts w:ascii="Times New Roman" w:hAnsi="Times New Roman" w:eastAsia="宋体" w:cs="宋体"/>
          <w:b/>
          <w:bCs/>
          <w:sz w:val="24"/>
          <w:szCs w:val="22"/>
          <w:lang w:bidi="ar"/>
        </w:rPr>
      </w:pP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DhiNGI0YmE3ODA0NTM1ZmE0YTM1N2UwNWU2NGEifQ=="/>
  </w:docVars>
  <w:rsids>
    <w:rsidRoot w:val="00285D6A"/>
    <w:rsid w:val="00074071"/>
    <w:rsid w:val="00285D6A"/>
    <w:rsid w:val="004E1414"/>
    <w:rsid w:val="005E7743"/>
    <w:rsid w:val="008466FF"/>
    <w:rsid w:val="00896A4F"/>
    <w:rsid w:val="00C23899"/>
    <w:rsid w:val="00E14574"/>
    <w:rsid w:val="05E55F98"/>
    <w:rsid w:val="19803391"/>
    <w:rsid w:val="4BB37B46"/>
    <w:rsid w:val="4CD051AE"/>
    <w:rsid w:val="5C524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9"/>
    <w:uiPriority w:val="0"/>
    <w:pPr>
      <w:jc w:val="left"/>
    </w:pPr>
  </w:style>
  <w:style w:type="paragraph" w:styleId="3">
    <w:name w:val="annotation subject"/>
    <w:basedOn w:val="2"/>
    <w:next w:val="2"/>
    <w:link w:val="10"/>
    <w:uiPriority w:val="0"/>
    <w:rPr>
      <w:b/>
      <w:bCs/>
    </w:rPr>
  </w:style>
  <w:style w:type="character" w:styleId="6">
    <w:name w:val="annotation reference"/>
    <w:basedOn w:val="5"/>
    <w:uiPriority w:val="0"/>
    <w:rPr>
      <w:sz w:val="21"/>
      <w:szCs w:val="21"/>
    </w:rPr>
  </w:style>
  <w:style w:type="paragraph" w:customStyle="1" w:styleId="7">
    <w:name w:val="005正文"/>
    <w:basedOn w:val="1"/>
    <w:link w:val="8"/>
    <w:qFormat/>
    <w:uiPriority w:val="0"/>
    <w:pPr>
      <w:spacing w:before="50" w:beforeLines="50" w:line="360" w:lineRule="auto"/>
      <w:ind w:firstLine="200" w:firstLineChars="200"/>
    </w:pPr>
    <w:rPr>
      <w:rFonts w:ascii="Times New Roman" w:hAnsi="Times New Roman" w:eastAsia="宋体" w:cs="Times New Roman"/>
      <w:sz w:val="24"/>
      <w:szCs w:val="22"/>
    </w:rPr>
  </w:style>
  <w:style w:type="character" w:customStyle="1" w:styleId="8">
    <w:name w:val="005正文 Char"/>
    <w:basedOn w:val="5"/>
    <w:link w:val="7"/>
    <w:qFormat/>
    <w:uiPriority w:val="0"/>
    <w:rPr>
      <w:rFonts w:hint="default" w:ascii="Times New Roman" w:hAnsi="Times New Roman" w:eastAsia="宋体" w:cs="Times New Roman"/>
      <w:kern w:val="2"/>
      <w:sz w:val="24"/>
      <w:szCs w:val="22"/>
    </w:rPr>
  </w:style>
  <w:style w:type="character" w:customStyle="1" w:styleId="9">
    <w:name w:val="批注文字 字符"/>
    <w:basedOn w:val="5"/>
    <w:link w:val="2"/>
    <w:uiPriority w:val="0"/>
    <w:rPr>
      <w:rFonts w:asciiTheme="minorHAnsi" w:hAnsiTheme="minorHAnsi" w:eastAsiaTheme="minorEastAsia" w:cstheme="minorBidi"/>
      <w:kern w:val="2"/>
      <w:sz w:val="21"/>
      <w:szCs w:val="24"/>
    </w:rPr>
  </w:style>
  <w:style w:type="character" w:customStyle="1" w:styleId="10">
    <w:name w:val="批注主题 字符"/>
    <w:basedOn w:val="9"/>
    <w:link w:val="3"/>
    <w:qFormat/>
    <w:uiPriority w:val="0"/>
    <w:rPr>
      <w:rFonts w:asciiTheme="minorHAnsi" w:hAnsiTheme="minorHAnsi" w:eastAsiaTheme="minorEastAsia" w:cstheme="minorBidi"/>
      <w:b/>
      <w:bCs/>
      <w:kern w:val="2"/>
      <w:sz w:val="21"/>
      <w:szCs w:val="24"/>
    </w:rPr>
  </w:style>
  <w:style w:type="paragraph" w:customStyle="1" w:styleId="11">
    <w:name w:val="Revision"/>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217</Words>
  <Characters>1238</Characters>
  <Lines>10</Lines>
  <Paragraphs>2</Paragraphs>
  <TotalTime>26</TotalTime>
  <ScaleCrop>false</ScaleCrop>
  <LinksUpToDate>false</LinksUpToDate>
  <CharactersWithSpaces>1453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2023-09-12T02:06:00Z</dcterms:created>
  <dc:creator>Administrator</dc:creator>
  <cp:lastModifiedBy>海涛</cp:lastModifiedBy>
  <dcterms:modified xsi:type="dcterms:W3CDTF">2023-09-26T13:02:53Z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99DF038B4D434CCBB8EA06A74FEAC043_12</vt:lpwstr>
  </property>
</Properties>
</file>