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5000" w:type="pct"/>
        <w:tblInd w:w="0" w:type="dxa"/>
        <w:tblLayout w:type="autofit"/>
        <w:tblCellMar>
          <w:top w:w="0" w:type="dxa"/>
          <w:left w:w="108" w:type="dxa"/>
          <w:bottom w:w="0" w:type="dxa"/>
          <w:right w:w="108" w:type="dxa"/>
        </w:tblCellMar>
      </w:tblPr>
      <w:tblGrid>
        <w:gridCol w:w="2840"/>
        <w:gridCol w:w="2841"/>
        <w:gridCol w:w="2841"/>
      </w:tblGrid>
      <w:tr>
        <w:tblPrEx>
          <w:tblCellMar>
            <w:top w:w="0" w:type="dxa"/>
            <w:left w:w="108" w:type="dxa"/>
            <w:bottom w:w="0" w:type="dxa"/>
            <w:right w:w="108" w:type="dxa"/>
          </w:tblCellMar>
        </w:tblPrEx>
        <w:tc>
          <w:tcPr>
            <w:tcW w:w="1666" w:type="pct"/>
          </w:tcPr>
          <w:p>
            <w:pPr>
              <w:adjustRightInd w:val="0"/>
              <w:snapToGrid w:val="0"/>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证券代码：000881</w:t>
            </w:r>
          </w:p>
        </w:tc>
        <w:tc>
          <w:tcPr>
            <w:tcW w:w="1667" w:type="pct"/>
          </w:tcPr>
          <w:p>
            <w:pPr>
              <w:adjustRightInd w:val="0"/>
              <w:snapToGrid w:val="0"/>
              <w:spacing w:line="440" w:lineRule="exact"/>
              <w:jc w:val="center"/>
              <w:rPr>
                <w:rFonts w:ascii="Times New Roman" w:hAnsi="Times New Roman" w:eastAsia="宋体" w:cs="Times New Roman"/>
                <w:sz w:val="24"/>
                <w:szCs w:val="24"/>
              </w:rPr>
            </w:pPr>
            <w:r>
              <w:rPr>
                <w:rFonts w:ascii="Times New Roman" w:hAnsi="Times New Roman" w:eastAsia="宋体" w:cs="Times New Roman"/>
                <w:sz w:val="24"/>
                <w:szCs w:val="24"/>
              </w:rPr>
              <w:t>证券简称：中广核技</w:t>
            </w:r>
          </w:p>
        </w:tc>
        <w:tc>
          <w:tcPr>
            <w:tcW w:w="1667" w:type="pct"/>
          </w:tcPr>
          <w:p>
            <w:pPr>
              <w:adjustRightInd w:val="0"/>
              <w:snapToGrid w:val="0"/>
              <w:spacing w:line="440" w:lineRule="exact"/>
              <w:jc w:val="right"/>
              <w:rPr>
                <w:rFonts w:hint="default" w:ascii="Times New Roman" w:hAnsi="Times New Roman" w:eastAsia="宋体" w:cs="Times New Roman"/>
                <w:sz w:val="24"/>
                <w:szCs w:val="24"/>
                <w:lang w:val="en-US" w:eastAsia="zh-CN"/>
              </w:rPr>
            </w:pPr>
            <w:r>
              <w:rPr>
                <w:rFonts w:ascii="Times New Roman" w:hAnsi="Times New Roman" w:eastAsia="宋体" w:cs="Times New Roman"/>
                <w:color w:val="auto"/>
                <w:sz w:val="24"/>
                <w:szCs w:val="24"/>
              </w:rPr>
              <w:t>公告编号：2023-</w:t>
            </w:r>
            <w:r>
              <w:rPr>
                <w:rFonts w:hint="eastAsia" w:ascii="Times New Roman" w:hAnsi="Times New Roman" w:eastAsia="宋体" w:cs="Times New Roman"/>
                <w:color w:val="auto"/>
                <w:sz w:val="24"/>
                <w:szCs w:val="24"/>
                <w:lang w:val="en-US" w:eastAsia="zh-CN"/>
              </w:rPr>
              <w:t>071</w:t>
            </w:r>
          </w:p>
        </w:tc>
      </w:tr>
    </w:tbl>
    <w:p>
      <w:pPr>
        <w:jc w:val="center"/>
        <w:rPr>
          <w:rFonts w:ascii="Times New Roman" w:hAnsi="Times New Roman" w:eastAsia="宋体" w:cs="Times New Roman"/>
          <w:b/>
          <w:bCs/>
          <w:sz w:val="32"/>
          <w:szCs w:val="36"/>
        </w:rPr>
      </w:pPr>
    </w:p>
    <w:p>
      <w:pPr>
        <w:spacing w:before="156" w:beforeLines="50"/>
        <w:contextualSpacing/>
        <w:jc w:val="center"/>
        <w:rPr>
          <w:rFonts w:ascii="Times New Roman" w:hAnsi="Times New Roman" w:eastAsia="宋体" w:cs="Times New Roman"/>
          <w:b/>
          <w:sz w:val="36"/>
          <w:szCs w:val="36"/>
        </w:rPr>
      </w:pPr>
      <w:r>
        <w:rPr>
          <w:rFonts w:ascii="Times New Roman" w:hAnsi="Times New Roman" w:eastAsia="宋体" w:cs="Times New Roman"/>
          <w:b/>
          <w:sz w:val="36"/>
          <w:szCs w:val="36"/>
        </w:rPr>
        <w:t>中广核核技术发展股份有限公司</w:t>
      </w:r>
    </w:p>
    <w:p>
      <w:pPr>
        <w:spacing w:before="156" w:beforeLines="50"/>
        <w:contextualSpacing/>
        <w:jc w:val="center"/>
        <w:rPr>
          <w:rFonts w:ascii="Times New Roman" w:hAnsi="Times New Roman" w:eastAsia="宋体" w:cs="Times New Roman"/>
          <w:b/>
          <w:sz w:val="36"/>
          <w:szCs w:val="36"/>
        </w:rPr>
      </w:pPr>
      <w:r>
        <w:rPr>
          <w:rFonts w:ascii="Times New Roman" w:hAnsi="Times New Roman" w:eastAsia="宋体" w:cs="Times New Roman"/>
          <w:b/>
          <w:sz w:val="36"/>
          <w:szCs w:val="36"/>
        </w:rPr>
        <w:t>关于</w:t>
      </w:r>
      <w:r>
        <w:rPr>
          <w:rFonts w:hint="eastAsia" w:ascii="Times New Roman" w:hAnsi="Times New Roman" w:eastAsia="宋体" w:cs="Times New Roman"/>
          <w:b/>
          <w:sz w:val="36"/>
          <w:szCs w:val="36"/>
        </w:rPr>
        <w:t>发行股份及支付现金购买资产并募集配套资金暨关联交易报告书修订说明的</w:t>
      </w:r>
      <w:r>
        <w:rPr>
          <w:rFonts w:ascii="Times New Roman" w:hAnsi="Times New Roman" w:eastAsia="宋体" w:cs="Times New Roman"/>
          <w:b/>
          <w:sz w:val="36"/>
          <w:szCs w:val="36"/>
        </w:rPr>
        <w:t>公告</w:t>
      </w:r>
    </w:p>
    <w:p>
      <w:pPr>
        <w:snapToGrid w:val="0"/>
        <w:spacing w:before="312" w:beforeLines="100" w:line="360" w:lineRule="auto"/>
        <w:ind w:firstLine="422" w:firstLineChars="200"/>
        <w:rPr>
          <w:rFonts w:ascii="Times New Roman" w:hAnsi="Times New Roman" w:eastAsia="宋体" w:cs="Times New Roman"/>
          <w:b/>
          <w:szCs w:val="21"/>
        </w:rPr>
      </w:pPr>
      <w:r>
        <w:rPr>
          <w:rFonts w:ascii="Times New Roman" w:hAnsi="Times New Roman" w:eastAsia="宋体" w:cs="Times New Roman"/>
          <w:b/>
          <w:szCs w:val="21"/>
        </w:rPr>
        <w:t>本公司及董事会全体成员保证信息披露的内容真实、准确、完整，没有虚假记载、误导性陈述或者重大遗漏。</w:t>
      </w:r>
    </w:p>
    <w:p>
      <w:pPr>
        <w:spacing w:line="360" w:lineRule="auto"/>
        <w:ind w:firstLine="480" w:firstLineChars="200"/>
        <w:contextualSpacing/>
        <w:rPr>
          <w:rFonts w:ascii="Times New Roman" w:hAnsi="Times New Roman" w:eastAsia="宋体" w:cs="Times New Roman"/>
          <w:sz w:val="24"/>
          <w:szCs w:val="28"/>
        </w:rPr>
      </w:pPr>
      <w:r>
        <w:rPr>
          <w:rFonts w:ascii="Times New Roman" w:hAnsi="Times New Roman" w:eastAsia="宋体" w:cs="Times New Roman"/>
          <w:sz w:val="24"/>
          <w:szCs w:val="28"/>
        </w:rPr>
        <w:t>2022年6月29日，中广核核技术发展股份有限公司（以下简称</w:t>
      </w:r>
      <w:r>
        <w:rPr>
          <w:rFonts w:hint="eastAsia" w:ascii="Times New Roman" w:hAnsi="Times New Roman" w:eastAsia="宋体" w:cs="Times New Roman"/>
          <w:sz w:val="24"/>
          <w:szCs w:val="28"/>
        </w:rPr>
        <w:t>“</w:t>
      </w:r>
      <w:r>
        <w:rPr>
          <w:rFonts w:ascii="Times New Roman" w:hAnsi="Times New Roman" w:eastAsia="宋体" w:cs="Times New Roman"/>
          <w:sz w:val="24"/>
          <w:szCs w:val="28"/>
        </w:rPr>
        <w:t>中广核技</w:t>
      </w:r>
      <w:r>
        <w:rPr>
          <w:rFonts w:hint="eastAsia" w:ascii="Times New Roman" w:hAnsi="Times New Roman" w:eastAsia="宋体" w:cs="Times New Roman"/>
          <w:sz w:val="24"/>
          <w:szCs w:val="28"/>
        </w:rPr>
        <w:t>”</w:t>
      </w:r>
      <w:r>
        <w:rPr>
          <w:rFonts w:ascii="Times New Roman" w:hAnsi="Times New Roman" w:eastAsia="宋体" w:cs="Times New Roman"/>
          <w:sz w:val="24"/>
          <w:szCs w:val="28"/>
        </w:rPr>
        <w:t>、</w:t>
      </w:r>
      <w:r>
        <w:rPr>
          <w:rFonts w:hint="eastAsia" w:ascii="Times New Roman" w:hAnsi="Times New Roman" w:eastAsia="宋体" w:cs="Times New Roman"/>
          <w:sz w:val="24"/>
          <w:szCs w:val="28"/>
        </w:rPr>
        <w:t>“</w:t>
      </w:r>
      <w:r>
        <w:rPr>
          <w:rFonts w:ascii="Times New Roman" w:hAnsi="Times New Roman" w:eastAsia="宋体" w:cs="Times New Roman"/>
          <w:sz w:val="24"/>
          <w:szCs w:val="28"/>
        </w:rPr>
        <w:t>上市公司</w:t>
      </w:r>
      <w:r>
        <w:rPr>
          <w:rFonts w:hint="eastAsia" w:ascii="Times New Roman" w:hAnsi="Times New Roman" w:eastAsia="宋体" w:cs="Times New Roman"/>
          <w:sz w:val="24"/>
          <w:szCs w:val="28"/>
        </w:rPr>
        <w:t>”</w:t>
      </w:r>
      <w:r>
        <w:rPr>
          <w:rFonts w:ascii="Times New Roman" w:hAnsi="Times New Roman" w:eastAsia="宋体" w:cs="Times New Roman"/>
          <w:sz w:val="24"/>
          <w:szCs w:val="28"/>
        </w:rPr>
        <w:t>或</w:t>
      </w:r>
      <w:r>
        <w:rPr>
          <w:rFonts w:hint="eastAsia" w:ascii="Times New Roman" w:hAnsi="Times New Roman" w:eastAsia="宋体" w:cs="Times New Roman"/>
          <w:sz w:val="24"/>
          <w:szCs w:val="28"/>
        </w:rPr>
        <w:t>“</w:t>
      </w:r>
      <w:r>
        <w:rPr>
          <w:rFonts w:ascii="Times New Roman" w:hAnsi="Times New Roman" w:eastAsia="宋体" w:cs="Times New Roman"/>
          <w:sz w:val="24"/>
          <w:szCs w:val="28"/>
        </w:rPr>
        <w:t>公司</w:t>
      </w:r>
      <w:r>
        <w:rPr>
          <w:rFonts w:hint="eastAsia" w:ascii="Times New Roman" w:hAnsi="Times New Roman" w:eastAsia="宋体" w:cs="Times New Roman"/>
          <w:sz w:val="24"/>
          <w:szCs w:val="28"/>
        </w:rPr>
        <w:t>”</w:t>
      </w:r>
      <w:r>
        <w:rPr>
          <w:rFonts w:ascii="Times New Roman" w:hAnsi="Times New Roman" w:eastAsia="宋体" w:cs="Times New Roman"/>
          <w:sz w:val="24"/>
          <w:szCs w:val="28"/>
        </w:rPr>
        <w:t>）召开了第九届董事会第二十八次会议，审议通过了《关于&lt;中广核核技术发展股份有限公司发行股份及支付现金购买资产暨关联交易报告书（草案）&gt;及其摘要的议案》等相关议案。</w:t>
      </w:r>
      <w:r>
        <w:rPr>
          <w:rFonts w:hint="eastAsia" w:ascii="Times New Roman" w:hAnsi="Times New Roman" w:eastAsia="宋体" w:cs="Times New Roman"/>
          <w:sz w:val="24"/>
          <w:szCs w:val="28"/>
        </w:rPr>
        <w:t>公司</w:t>
      </w:r>
      <w:r>
        <w:rPr>
          <w:rFonts w:ascii="Times New Roman" w:hAnsi="Times New Roman" w:eastAsia="宋体" w:cs="Times New Roman"/>
          <w:sz w:val="24"/>
          <w:szCs w:val="28"/>
        </w:rPr>
        <w:t>于2022年</w:t>
      </w:r>
      <w:r>
        <w:rPr>
          <w:rFonts w:hint="eastAsia" w:ascii="Times New Roman" w:hAnsi="Times New Roman" w:eastAsia="宋体" w:cs="Times New Roman"/>
          <w:sz w:val="24"/>
          <w:szCs w:val="28"/>
        </w:rPr>
        <w:t>7</w:t>
      </w:r>
      <w:r>
        <w:rPr>
          <w:rFonts w:ascii="Times New Roman" w:hAnsi="Times New Roman" w:eastAsia="宋体" w:cs="Times New Roman"/>
          <w:sz w:val="24"/>
          <w:szCs w:val="28"/>
        </w:rPr>
        <w:t>月</w:t>
      </w:r>
      <w:r>
        <w:rPr>
          <w:rFonts w:hint="eastAsia" w:ascii="Times New Roman" w:hAnsi="Times New Roman" w:eastAsia="宋体" w:cs="Times New Roman"/>
          <w:sz w:val="24"/>
          <w:szCs w:val="28"/>
        </w:rPr>
        <w:t>1</w:t>
      </w:r>
      <w:r>
        <w:rPr>
          <w:rFonts w:ascii="Times New Roman" w:hAnsi="Times New Roman" w:eastAsia="宋体" w:cs="Times New Roman"/>
          <w:sz w:val="24"/>
          <w:szCs w:val="28"/>
        </w:rPr>
        <w:t>日披露</w:t>
      </w:r>
      <w:r>
        <w:rPr>
          <w:rFonts w:hint="eastAsia" w:ascii="Times New Roman" w:hAnsi="Times New Roman" w:eastAsia="宋体" w:cs="Times New Roman"/>
          <w:sz w:val="24"/>
          <w:szCs w:val="28"/>
        </w:rPr>
        <w:t>了</w:t>
      </w:r>
      <w:r>
        <w:rPr>
          <w:rFonts w:ascii="Times New Roman" w:hAnsi="Times New Roman" w:eastAsia="宋体" w:cs="Times New Roman"/>
          <w:sz w:val="24"/>
          <w:szCs w:val="28"/>
        </w:rPr>
        <w:t>《</w:t>
      </w:r>
      <w:r>
        <w:rPr>
          <w:rFonts w:hint="eastAsia" w:ascii="Times New Roman" w:hAnsi="Times New Roman" w:eastAsia="宋体" w:cs="Times New Roman"/>
          <w:sz w:val="24"/>
          <w:szCs w:val="28"/>
        </w:rPr>
        <w:t>中广核核技术发展股份有限公司发行股份及支付现金购买资产</w:t>
      </w:r>
      <w:r>
        <w:rPr>
          <w:rFonts w:ascii="Times New Roman" w:hAnsi="Times New Roman" w:eastAsia="宋体" w:cs="Times New Roman"/>
          <w:sz w:val="24"/>
          <w:szCs w:val="28"/>
        </w:rPr>
        <w:t>暨关联交易报告书（草案）》</w:t>
      </w:r>
      <w:r>
        <w:rPr>
          <w:rFonts w:hint="eastAsia" w:ascii="Times New Roman" w:hAnsi="Times New Roman" w:eastAsia="宋体" w:cs="Times New Roman"/>
          <w:sz w:val="24"/>
          <w:szCs w:val="28"/>
        </w:rPr>
        <w:t>。</w:t>
      </w:r>
    </w:p>
    <w:p>
      <w:pPr>
        <w:spacing w:line="360" w:lineRule="auto"/>
        <w:ind w:firstLine="480" w:firstLineChars="200"/>
        <w:contextualSpacing/>
        <w:rPr>
          <w:rFonts w:ascii="Times New Roman" w:hAnsi="Times New Roman" w:eastAsia="宋体" w:cs="Times New Roman"/>
          <w:sz w:val="24"/>
          <w:szCs w:val="28"/>
        </w:rPr>
      </w:pPr>
      <w:r>
        <w:rPr>
          <w:rFonts w:ascii="Times New Roman" w:hAnsi="Times New Roman" w:eastAsia="宋体" w:cs="Times New Roman"/>
          <w:sz w:val="24"/>
          <w:szCs w:val="28"/>
        </w:rPr>
        <w:t>2022年7月19日</w:t>
      </w:r>
      <w:r>
        <w:rPr>
          <w:rFonts w:hint="eastAsia" w:ascii="Times New Roman" w:hAnsi="Times New Roman" w:eastAsia="宋体" w:cs="Times New Roman"/>
          <w:sz w:val="24"/>
          <w:szCs w:val="28"/>
        </w:rPr>
        <w:t>，公司</w:t>
      </w:r>
      <w:r>
        <w:rPr>
          <w:rFonts w:ascii="Times New Roman" w:hAnsi="Times New Roman" w:eastAsia="宋体" w:cs="Times New Roman"/>
          <w:sz w:val="24"/>
          <w:szCs w:val="28"/>
        </w:rPr>
        <w:t>收到</w:t>
      </w:r>
      <w:r>
        <w:rPr>
          <w:rFonts w:hint="eastAsia" w:ascii="Times New Roman" w:hAnsi="Times New Roman" w:eastAsia="宋体" w:cs="Times New Roman"/>
          <w:sz w:val="24"/>
          <w:szCs w:val="28"/>
        </w:rPr>
        <w:t>深圳证券交易所</w:t>
      </w:r>
      <w:r>
        <w:rPr>
          <w:rFonts w:ascii="Times New Roman" w:hAnsi="Times New Roman" w:eastAsia="宋体" w:cs="Times New Roman"/>
          <w:sz w:val="24"/>
          <w:szCs w:val="28"/>
        </w:rPr>
        <w:t>下发的《关于对中广核核技术发展股份有限公司的重组问询函》（许可类重组问询函〔2022〕第10号</w:t>
      </w:r>
      <w:r>
        <w:rPr>
          <w:rFonts w:hint="eastAsia" w:ascii="Times New Roman" w:hAnsi="Times New Roman" w:eastAsia="宋体" w:cs="Times New Roman"/>
          <w:sz w:val="24"/>
          <w:szCs w:val="28"/>
        </w:rPr>
        <w:t>）（以下简称“问询函”</w:t>
      </w:r>
      <w:r>
        <w:rPr>
          <w:rFonts w:ascii="Times New Roman" w:hAnsi="Times New Roman" w:eastAsia="宋体" w:cs="Times New Roman"/>
          <w:sz w:val="24"/>
          <w:szCs w:val="28"/>
        </w:rPr>
        <w:t>）</w:t>
      </w:r>
      <w:r>
        <w:rPr>
          <w:rFonts w:hint="eastAsia" w:ascii="Times New Roman" w:hAnsi="Times New Roman" w:eastAsia="宋体" w:cs="Times New Roman"/>
          <w:sz w:val="24"/>
          <w:szCs w:val="28"/>
        </w:rPr>
        <w:t>，公司会同中介机构对问询函所述问题进行了书面回复，并根据问询函的相关要求于2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年8月3日</w:t>
      </w:r>
      <w:r>
        <w:rPr>
          <w:rFonts w:ascii="Times New Roman" w:hAnsi="Times New Roman" w:eastAsia="宋体" w:cs="Times New Roman"/>
          <w:sz w:val="24"/>
          <w:szCs w:val="28"/>
        </w:rPr>
        <w:t>披露</w:t>
      </w:r>
      <w:r>
        <w:rPr>
          <w:rFonts w:hint="eastAsia" w:ascii="Times New Roman" w:hAnsi="Times New Roman" w:eastAsia="宋体" w:cs="Times New Roman"/>
          <w:sz w:val="24"/>
          <w:szCs w:val="28"/>
        </w:rPr>
        <w:t>了修订和更新后的报告书及问询函回复。</w:t>
      </w:r>
    </w:p>
    <w:p>
      <w:pPr>
        <w:spacing w:line="360" w:lineRule="auto"/>
        <w:ind w:firstLine="480" w:firstLineChars="200"/>
        <w:contextualSpacing/>
        <w:rPr>
          <w:rFonts w:ascii="Times New Roman" w:hAnsi="Times New Roman" w:eastAsia="宋体" w:cs="Times New Roman"/>
          <w:sz w:val="24"/>
          <w:szCs w:val="28"/>
        </w:rPr>
      </w:pPr>
      <w:r>
        <w:rPr>
          <w:rFonts w:ascii="Times New Roman" w:hAnsi="Times New Roman" w:eastAsia="宋体" w:cs="Times New Roman"/>
          <w:sz w:val="24"/>
          <w:szCs w:val="28"/>
        </w:rPr>
        <w:t>2023年8月</w:t>
      </w:r>
      <w:r>
        <w:rPr>
          <w:rFonts w:hint="eastAsia" w:ascii="Times New Roman" w:hAnsi="Times New Roman" w:eastAsia="宋体" w:cs="Times New Roman"/>
          <w:sz w:val="24"/>
          <w:szCs w:val="28"/>
        </w:rPr>
        <w:t>2</w:t>
      </w:r>
      <w:r>
        <w:rPr>
          <w:rFonts w:ascii="Times New Roman" w:hAnsi="Times New Roman" w:eastAsia="宋体" w:cs="Times New Roman"/>
          <w:sz w:val="24"/>
          <w:szCs w:val="28"/>
        </w:rPr>
        <w:t>4日，</w:t>
      </w:r>
      <w:r>
        <w:rPr>
          <w:rFonts w:hint="eastAsia" w:ascii="Times New Roman" w:hAnsi="Times New Roman" w:eastAsia="宋体" w:cs="Times New Roman"/>
          <w:sz w:val="24"/>
          <w:szCs w:val="28"/>
        </w:rPr>
        <w:t>公司</w:t>
      </w:r>
      <w:r>
        <w:rPr>
          <w:rFonts w:ascii="Times New Roman" w:hAnsi="Times New Roman" w:eastAsia="宋体" w:cs="Times New Roman"/>
          <w:sz w:val="24"/>
          <w:szCs w:val="28"/>
        </w:rPr>
        <w:t>召开第十届董事会第</w:t>
      </w:r>
      <w:r>
        <w:rPr>
          <w:rFonts w:hint="eastAsia" w:ascii="Times New Roman" w:hAnsi="Times New Roman" w:eastAsia="宋体" w:cs="Times New Roman"/>
          <w:sz w:val="24"/>
          <w:szCs w:val="28"/>
        </w:rPr>
        <w:t>九</w:t>
      </w:r>
      <w:r>
        <w:rPr>
          <w:rFonts w:ascii="Times New Roman" w:hAnsi="Times New Roman" w:eastAsia="宋体" w:cs="Times New Roman"/>
          <w:sz w:val="24"/>
          <w:szCs w:val="28"/>
        </w:rPr>
        <w:t>次会议，审议通过了《关于&lt;中广核核技术发展股份有限公司发行股份及支付现金购买资产并募集配套资金暨关联交易报告书（草案）</w:t>
      </w:r>
      <w:r>
        <w:rPr>
          <w:rFonts w:hint="eastAsia" w:ascii="Times New Roman" w:hAnsi="Times New Roman" w:eastAsia="宋体" w:cs="Times New Roman"/>
          <w:sz w:val="24"/>
          <w:szCs w:val="28"/>
        </w:rPr>
        <w:t>（修订稿）</w:t>
      </w:r>
      <w:r>
        <w:rPr>
          <w:rFonts w:ascii="Times New Roman" w:hAnsi="Times New Roman" w:eastAsia="宋体" w:cs="Times New Roman"/>
          <w:sz w:val="24"/>
          <w:szCs w:val="28"/>
        </w:rPr>
        <w:t>&gt;及其摘要的议案》等相关议案，对本次交易方案进行了调整</w:t>
      </w:r>
      <w:r>
        <w:rPr>
          <w:rFonts w:hint="eastAsia" w:ascii="Times New Roman" w:hAnsi="Times New Roman" w:eastAsia="宋体" w:cs="Times New Roman"/>
          <w:sz w:val="24"/>
          <w:szCs w:val="28"/>
        </w:rPr>
        <w:t>。公司</w:t>
      </w:r>
      <w:r>
        <w:rPr>
          <w:rFonts w:ascii="Times New Roman" w:hAnsi="Times New Roman" w:eastAsia="宋体" w:cs="Times New Roman"/>
          <w:sz w:val="24"/>
          <w:szCs w:val="28"/>
        </w:rPr>
        <w:t>于202</w:t>
      </w:r>
      <w:r>
        <w:rPr>
          <w:rFonts w:hint="eastAsia" w:ascii="Times New Roman" w:hAnsi="Times New Roman" w:eastAsia="宋体" w:cs="Times New Roman"/>
          <w:sz w:val="24"/>
          <w:szCs w:val="28"/>
          <w:lang w:val="en-US" w:eastAsia="zh-CN"/>
        </w:rPr>
        <w:t>3</w:t>
      </w:r>
      <w:r>
        <w:rPr>
          <w:rFonts w:ascii="Times New Roman" w:hAnsi="Times New Roman" w:eastAsia="宋体" w:cs="Times New Roman"/>
          <w:sz w:val="24"/>
          <w:szCs w:val="28"/>
        </w:rPr>
        <w:t>年</w:t>
      </w:r>
      <w:r>
        <w:rPr>
          <w:rFonts w:hint="eastAsia" w:ascii="Times New Roman" w:hAnsi="Times New Roman" w:eastAsia="宋体" w:cs="Times New Roman"/>
          <w:sz w:val="24"/>
          <w:szCs w:val="28"/>
        </w:rPr>
        <w:t>8</w:t>
      </w:r>
      <w:r>
        <w:rPr>
          <w:rFonts w:ascii="Times New Roman" w:hAnsi="Times New Roman" w:eastAsia="宋体" w:cs="Times New Roman"/>
          <w:sz w:val="24"/>
          <w:szCs w:val="28"/>
        </w:rPr>
        <w:t>月</w:t>
      </w:r>
      <w:r>
        <w:rPr>
          <w:rFonts w:hint="eastAsia" w:ascii="Times New Roman" w:hAnsi="Times New Roman" w:eastAsia="宋体" w:cs="Times New Roman"/>
          <w:sz w:val="24"/>
          <w:szCs w:val="28"/>
        </w:rPr>
        <w:t>2</w:t>
      </w:r>
      <w:r>
        <w:rPr>
          <w:rFonts w:ascii="Times New Roman" w:hAnsi="Times New Roman" w:eastAsia="宋体" w:cs="Times New Roman"/>
          <w:sz w:val="24"/>
          <w:szCs w:val="28"/>
        </w:rPr>
        <w:t>8日披露</w:t>
      </w:r>
      <w:r>
        <w:rPr>
          <w:rFonts w:hint="eastAsia" w:ascii="Times New Roman" w:hAnsi="Times New Roman" w:eastAsia="宋体" w:cs="Times New Roman"/>
          <w:sz w:val="24"/>
          <w:szCs w:val="28"/>
        </w:rPr>
        <w:t>了</w:t>
      </w:r>
      <w:r>
        <w:rPr>
          <w:rFonts w:ascii="Times New Roman" w:hAnsi="Times New Roman" w:eastAsia="宋体" w:cs="Times New Roman"/>
          <w:sz w:val="24"/>
          <w:szCs w:val="28"/>
        </w:rPr>
        <w:t>《</w:t>
      </w:r>
      <w:r>
        <w:rPr>
          <w:rFonts w:hint="eastAsia" w:ascii="Times New Roman" w:hAnsi="Times New Roman" w:eastAsia="宋体" w:cs="Times New Roman"/>
          <w:sz w:val="24"/>
          <w:szCs w:val="28"/>
        </w:rPr>
        <w:t>中广核核技术发展股份有限公司发行股份及支付现金购买资产并募集配套资金</w:t>
      </w:r>
      <w:r>
        <w:rPr>
          <w:rFonts w:ascii="Times New Roman" w:hAnsi="Times New Roman" w:eastAsia="宋体" w:cs="Times New Roman"/>
          <w:sz w:val="24"/>
          <w:szCs w:val="28"/>
        </w:rPr>
        <w:t>暨关联交易报告书（草案）》</w:t>
      </w:r>
      <w:r>
        <w:rPr>
          <w:rFonts w:hint="eastAsia" w:ascii="Times New Roman" w:hAnsi="Times New Roman" w:eastAsia="宋体" w:cs="Times New Roman"/>
          <w:sz w:val="24"/>
          <w:szCs w:val="28"/>
        </w:rPr>
        <w:t>（以下简称“重组报告书”），</w:t>
      </w:r>
      <w:r>
        <w:rPr>
          <w:rFonts w:ascii="Times New Roman" w:hAnsi="Times New Roman" w:eastAsia="宋体" w:cs="Times New Roman"/>
          <w:sz w:val="24"/>
          <w:szCs w:val="28"/>
        </w:rPr>
        <w:t>具体内容详见公司</w:t>
      </w:r>
      <w:r>
        <w:rPr>
          <w:rFonts w:hint="eastAsia" w:ascii="Times New Roman" w:hAnsi="Times New Roman" w:eastAsia="宋体" w:cs="Times New Roman"/>
          <w:sz w:val="24"/>
          <w:szCs w:val="28"/>
        </w:rPr>
        <w:t>在深圳证券交易所法定信息披露平台上披露的</w:t>
      </w:r>
      <w:r>
        <w:rPr>
          <w:rFonts w:ascii="Times New Roman" w:hAnsi="Times New Roman" w:eastAsia="宋体" w:cs="Times New Roman"/>
          <w:sz w:val="24"/>
          <w:szCs w:val="28"/>
        </w:rPr>
        <w:t>相关公告。</w:t>
      </w:r>
    </w:p>
    <w:p>
      <w:pPr>
        <w:spacing w:line="360" w:lineRule="auto"/>
        <w:ind w:firstLine="480" w:firstLineChars="200"/>
        <w:contextualSpacing/>
        <w:rPr>
          <w:rFonts w:ascii="Times New Roman" w:hAnsi="Times New Roman" w:eastAsia="宋体" w:cs="Times New Roman"/>
          <w:sz w:val="24"/>
          <w:szCs w:val="28"/>
        </w:rPr>
      </w:pPr>
      <w:r>
        <w:rPr>
          <w:rFonts w:hint="eastAsia" w:ascii="Times New Roman" w:hAnsi="Times New Roman" w:eastAsia="宋体" w:cs="Times New Roman"/>
          <w:sz w:val="24"/>
          <w:szCs w:val="28"/>
        </w:rPr>
        <w:t>公司除根据</w:t>
      </w:r>
      <w:r>
        <w:rPr>
          <w:rFonts w:ascii="Times New Roman" w:hAnsi="Times New Roman" w:eastAsia="宋体" w:cs="Times New Roman"/>
          <w:sz w:val="24"/>
          <w:szCs w:val="28"/>
        </w:rPr>
        <w:t>中国证券监督管理委员会</w:t>
      </w:r>
      <w:r>
        <w:rPr>
          <w:rFonts w:hint="eastAsia" w:ascii="Times New Roman" w:hAnsi="Times New Roman" w:eastAsia="宋体" w:cs="Times New Roman"/>
          <w:sz w:val="24"/>
          <w:szCs w:val="28"/>
        </w:rPr>
        <w:t>于2</w:t>
      </w:r>
      <w:r>
        <w:rPr>
          <w:rFonts w:ascii="Times New Roman" w:hAnsi="Times New Roman" w:eastAsia="宋体" w:cs="Times New Roman"/>
          <w:sz w:val="24"/>
          <w:szCs w:val="28"/>
        </w:rPr>
        <w:t>023</w:t>
      </w:r>
      <w:r>
        <w:rPr>
          <w:rFonts w:hint="eastAsia" w:ascii="Times New Roman" w:hAnsi="Times New Roman" w:eastAsia="宋体" w:cs="Times New Roman"/>
          <w:sz w:val="24"/>
          <w:szCs w:val="28"/>
        </w:rPr>
        <w:t>年2月1</w:t>
      </w:r>
      <w:r>
        <w:rPr>
          <w:rFonts w:ascii="Times New Roman" w:hAnsi="Times New Roman" w:eastAsia="宋体" w:cs="Times New Roman"/>
          <w:sz w:val="24"/>
          <w:szCs w:val="28"/>
        </w:rPr>
        <w:t>7</w:t>
      </w:r>
      <w:r>
        <w:rPr>
          <w:rFonts w:hint="eastAsia" w:ascii="Times New Roman" w:hAnsi="Times New Roman" w:eastAsia="宋体" w:cs="Times New Roman"/>
          <w:sz w:val="24"/>
          <w:szCs w:val="28"/>
        </w:rPr>
        <w:t>日公告《</w:t>
      </w:r>
      <w:r>
        <w:rPr>
          <w:rFonts w:ascii="Times New Roman" w:hAnsi="Times New Roman" w:eastAsia="宋体" w:cs="Times New Roman"/>
          <w:sz w:val="24"/>
          <w:szCs w:val="28"/>
        </w:rPr>
        <w:t>公开发行证券的公司信息披露内容与格式准则第26号——上市公司重大资产重组</w:t>
      </w:r>
      <w:r>
        <w:rPr>
          <w:rFonts w:hint="eastAsia" w:ascii="Times New Roman" w:hAnsi="Times New Roman" w:eastAsia="宋体" w:cs="Times New Roman"/>
          <w:sz w:val="24"/>
          <w:szCs w:val="28"/>
        </w:rPr>
        <w:t>》对重组报告书整体格式进行调整、更新财务数据、</w:t>
      </w:r>
      <w:bookmarkStart w:id="0" w:name="_GoBack"/>
      <w:bookmarkEnd w:id="0"/>
      <w:r>
        <w:rPr>
          <w:rFonts w:hint="eastAsia" w:ascii="Times New Roman" w:hAnsi="Times New Roman" w:eastAsia="宋体" w:cs="Times New Roman"/>
          <w:sz w:val="24"/>
          <w:szCs w:val="28"/>
        </w:rPr>
        <w:t>备考审阅数据及评估数据外，公司根据调整后的交易方案对本次交易重组报告书进行补充和完善，涉及的主要内容具体情况如下：</w:t>
      </w:r>
    </w:p>
    <w:p>
      <w:pPr>
        <w:spacing w:line="360" w:lineRule="auto"/>
        <w:ind w:firstLine="482" w:firstLineChars="200"/>
        <w:contextualSpacing/>
        <w:rPr>
          <w:rFonts w:ascii="Times New Roman" w:hAnsi="Times New Roman" w:eastAsia="宋体" w:cs="Times New Roman"/>
          <w:b/>
          <w:bCs/>
          <w:sz w:val="24"/>
          <w:szCs w:val="28"/>
        </w:rPr>
      </w:pPr>
      <w:r>
        <w:rPr>
          <w:rFonts w:hint="eastAsia" w:ascii="Times New Roman" w:hAnsi="Times New Roman" w:eastAsia="宋体" w:cs="Times New Roman"/>
          <w:b/>
          <w:bCs/>
          <w:sz w:val="24"/>
          <w:szCs w:val="28"/>
        </w:rPr>
        <w:t>1、重大事项提示</w:t>
      </w:r>
    </w:p>
    <w:p>
      <w:pPr>
        <w:spacing w:line="360" w:lineRule="auto"/>
        <w:ind w:firstLine="480" w:firstLineChars="200"/>
        <w:contextualSpacing/>
        <w:rPr>
          <w:rFonts w:ascii="Times New Roman" w:hAnsi="Times New Roman" w:eastAsia="宋体" w:cs="Times New Roman"/>
          <w:sz w:val="24"/>
          <w:szCs w:val="28"/>
        </w:rPr>
      </w:pPr>
      <w:r>
        <w:rPr>
          <w:rFonts w:hint="eastAsia" w:ascii="Times New Roman" w:hAnsi="Times New Roman" w:eastAsia="宋体" w:cs="Times New Roman"/>
          <w:sz w:val="24"/>
          <w:szCs w:val="28"/>
        </w:rPr>
        <w:t>根据调整后的交易方案在重组报告书中补充披露“一、本次交易方案的调整”、“三、募集配套资金情况”等内容；并对“二、本次重组方案简要介绍”、“五、本次重组尚未履行的决策程序及报批程序”及上市公司控股股东对本次重组的原则性意见进行了更新。</w:t>
      </w:r>
    </w:p>
    <w:p>
      <w:pPr>
        <w:spacing w:line="360" w:lineRule="auto"/>
        <w:ind w:firstLine="482" w:firstLineChars="200"/>
        <w:contextualSpacing/>
        <w:rPr>
          <w:rFonts w:ascii="Times New Roman" w:hAnsi="Times New Roman" w:eastAsia="宋体" w:cs="Times New Roman"/>
          <w:b/>
          <w:bCs/>
          <w:sz w:val="24"/>
          <w:szCs w:val="28"/>
        </w:rPr>
      </w:pPr>
      <w:r>
        <w:rPr>
          <w:rFonts w:ascii="Times New Roman" w:hAnsi="Times New Roman" w:eastAsia="宋体" w:cs="Times New Roman"/>
          <w:b/>
          <w:bCs/>
          <w:sz w:val="24"/>
          <w:szCs w:val="28"/>
        </w:rPr>
        <w:t>2</w:t>
      </w:r>
      <w:r>
        <w:rPr>
          <w:rFonts w:hint="eastAsia" w:ascii="Times New Roman" w:hAnsi="Times New Roman" w:eastAsia="宋体" w:cs="Times New Roman"/>
          <w:b/>
          <w:bCs/>
          <w:sz w:val="24"/>
          <w:szCs w:val="28"/>
        </w:rPr>
        <w:t>、重大风险提示</w:t>
      </w:r>
    </w:p>
    <w:p>
      <w:pPr>
        <w:spacing w:line="360" w:lineRule="auto"/>
        <w:ind w:firstLine="480" w:firstLineChars="200"/>
        <w:contextualSpacing/>
        <w:rPr>
          <w:rFonts w:ascii="Times New Roman" w:hAnsi="Times New Roman" w:eastAsia="宋体" w:cs="Times New Roman"/>
          <w:sz w:val="24"/>
          <w:szCs w:val="28"/>
        </w:rPr>
      </w:pPr>
      <w:r>
        <w:rPr>
          <w:rFonts w:hint="eastAsia" w:ascii="Times New Roman" w:hAnsi="Times New Roman" w:eastAsia="宋体" w:cs="Times New Roman"/>
          <w:sz w:val="24"/>
          <w:szCs w:val="28"/>
        </w:rPr>
        <w:t>根据调整后的交易方案、交易协议及业绩承诺，更新并补充披露了“与本次交易相关的风险”及“与标的资产相关的风险”的部分内容。</w:t>
      </w:r>
    </w:p>
    <w:p>
      <w:pPr>
        <w:spacing w:line="360" w:lineRule="auto"/>
        <w:ind w:firstLine="482" w:firstLineChars="200"/>
        <w:contextualSpacing/>
        <w:rPr>
          <w:rFonts w:ascii="Times New Roman" w:hAnsi="Times New Roman" w:eastAsia="宋体" w:cs="Times New Roman"/>
          <w:b/>
          <w:bCs/>
          <w:sz w:val="24"/>
          <w:szCs w:val="28"/>
        </w:rPr>
      </w:pPr>
      <w:r>
        <w:rPr>
          <w:rFonts w:ascii="Times New Roman" w:hAnsi="Times New Roman" w:eastAsia="宋体" w:cs="Times New Roman"/>
          <w:b/>
          <w:bCs/>
          <w:sz w:val="24"/>
          <w:szCs w:val="28"/>
        </w:rPr>
        <w:t>3</w:t>
      </w:r>
      <w:r>
        <w:rPr>
          <w:rFonts w:hint="eastAsia" w:ascii="Times New Roman" w:hAnsi="Times New Roman" w:eastAsia="宋体" w:cs="Times New Roman"/>
          <w:b/>
          <w:bCs/>
          <w:sz w:val="24"/>
          <w:szCs w:val="28"/>
        </w:rPr>
        <w:t>、“第一节</w:t>
      </w:r>
      <w:r>
        <w:rPr>
          <w:rFonts w:ascii="Times New Roman" w:hAnsi="Times New Roman" w:eastAsia="宋体" w:cs="Times New Roman"/>
          <w:b/>
          <w:bCs/>
          <w:sz w:val="24"/>
          <w:szCs w:val="28"/>
        </w:rPr>
        <w:t xml:space="preserve"> 本次交易概况</w:t>
      </w:r>
      <w:r>
        <w:rPr>
          <w:rFonts w:hint="eastAsia" w:ascii="Times New Roman" w:hAnsi="Times New Roman" w:eastAsia="宋体" w:cs="Times New Roman"/>
          <w:b/>
          <w:bCs/>
          <w:sz w:val="24"/>
          <w:szCs w:val="28"/>
        </w:rPr>
        <w:t>”</w:t>
      </w:r>
    </w:p>
    <w:p>
      <w:pPr>
        <w:spacing w:line="360" w:lineRule="auto"/>
        <w:ind w:firstLine="480" w:firstLineChars="200"/>
        <w:contextualSpacing/>
        <w:rPr>
          <w:rFonts w:ascii="Times New Roman" w:hAnsi="Times New Roman" w:eastAsia="宋体" w:cs="Times New Roman"/>
          <w:sz w:val="24"/>
          <w:szCs w:val="28"/>
        </w:rPr>
      </w:pPr>
      <w:r>
        <w:rPr>
          <w:rFonts w:hint="eastAsia" w:ascii="Times New Roman" w:hAnsi="Times New Roman" w:eastAsia="宋体" w:cs="Times New Roman"/>
          <w:sz w:val="24"/>
          <w:szCs w:val="28"/>
        </w:rPr>
        <w:t>根据调整后的交易方案在重组报告书中补充披露“二、本次交易具体方案”之“（三）”、“二、本次重组方案简要介绍”、“三、募集配套资金情况”等内容；并对本次交易已履行的决策程序和审批程序、本次交易相关方作出的承诺及上市公司控股股东对本次重组的原则性意见进行了更新。</w:t>
      </w:r>
    </w:p>
    <w:p>
      <w:pPr>
        <w:spacing w:line="360" w:lineRule="auto"/>
        <w:ind w:firstLine="482" w:firstLineChars="200"/>
        <w:contextualSpacing/>
        <w:rPr>
          <w:rFonts w:ascii="Times New Roman" w:hAnsi="Times New Roman" w:eastAsia="宋体" w:cs="Times New Roman"/>
          <w:b/>
          <w:bCs/>
          <w:sz w:val="24"/>
          <w:szCs w:val="28"/>
        </w:rPr>
      </w:pPr>
      <w:r>
        <w:rPr>
          <w:rFonts w:ascii="Times New Roman" w:hAnsi="Times New Roman" w:eastAsia="宋体" w:cs="Times New Roman"/>
          <w:b/>
          <w:bCs/>
          <w:sz w:val="24"/>
          <w:szCs w:val="28"/>
        </w:rPr>
        <w:t>4</w:t>
      </w:r>
      <w:r>
        <w:rPr>
          <w:rFonts w:hint="eastAsia" w:ascii="Times New Roman" w:hAnsi="Times New Roman" w:eastAsia="宋体" w:cs="Times New Roman"/>
          <w:b/>
          <w:bCs/>
          <w:sz w:val="24"/>
          <w:szCs w:val="28"/>
        </w:rPr>
        <w:t>、“第三节 交易对方基本情况”</w:t>
      </w:r>
    </w:p>
    <w:p>
      <w:pPr>
        <w:spacing w:line="360" w:lineRule="auto"/>
        <w:ind w:firstLine="480" w:firstLineChars="200"/>
        <w:contextualSpacing/>
        <w:rPr>
          <w:rFonts w:ascii="Times New Roman" w:hAnsi="Times New Roman" w:eastAsia="宋体" w:cs="Times New Roman"/>
          <w:sz w:val="24"/>
          <w:szCs w:val="28"/>
        </w:rPr>
      </w:pPr>
      <w:r>
        <w:rPr>
          <w:rFonts w:hint="eastAsia" w:ascii="Times New Roman" w:hAnsi="Times New Roman" w:eastAsia="宋体" w:cs="Times New Roman"/>
          <w:sz w:val="24"/>
          <w:szCs w:val="28"/>
        </w:rPr>
        <w:t>根据调整后的交易方案删除原重组报告书中关于成都久源基本情况相关内容，相应调整交易对方之间关联关系情况；补充披露交易对方人员穿透情况。</w:t>
      </w:r>
    </w:p>
    <w:p>
      <w:pPr>
        <w:spacing w:line="360" w:lineRule="auto"/>
        <w:ind w:firstLine="482" w:firstLineChars="200"/>
        <w:contextualSpacing/>
        <w:rPr>
          <w:rFonts w:ascii="Times New Roman" w:hAnsi="Times New Roman" w:eastAsia="宋体" w:cs="Times New Roman"/>
          <w:b/>
          <w:bCs/>
          <w:sz w:val="24"/>
          <w:szCs w:val="28"/>
        </w:rPr>
      </w:pPr>
      <w:r>
        <w:rPr>
          <w:rFonts w:ascii="Times New Roman" w:hAnsi="Times New Roman" w:eastAsia="宋体" w:cs="Times New Roman"/>
          <w:b/>
          <w:bCs/>
          <w:sz w:val="24"/>
          <w:szCs w:val="28"/>
        </w:rPr>
        <w:t>5</w:t>
      </w:r>
      <w:r>
        <w:rPr>
          <w:rFonts w:hint="eastAsia" w:ascii="Times New Roman" w:hAnsi="Times New Roman" w:eastAsia="宋体" w:cs="Times New Roman"/>
          <w:b/>
          <w:bCs/>
          <w:sz w:val="24"/>
          <w:szCs w:val="28"/>
        </w:rPr>
        <w:t>、“第四节 交易标的基本情况”</w:t>
      </w:r>
    </w:p>
    <w:p>
      <w:pPr>
        <w:spacing w:line="360" w:lineRule="auto"/>
        <w:ind w:firstLine="480" w:firstLineChars="200"/>
        <w:contextualSpacing/>
        <w:rPr>
          <w:rFonts w:ascii="Times New Roman" w:hAnsi="Times New Roman" w:eastAsia="宋体" w:cs="Times New Roman"/>
          <w:sz w:val="24"/>
          <w:szCs w:val="28"/>
        </w:rPr>
      </w:pPr>
      <w:r>
        <w:rPr>
          <w:rFonts w:hint="eastAsia" w:ascii="Times New Roman" w:hAnsi="Times New Roman" w:eastAsia="宋体" w:cs="Times New Roman"/>
          <w:sz w:val="24"/>
          <w:szCs w:val="28"/>
        </w:rPr>
        <w:t>补充披露标的公司历史沿革中曾存在的股份代持情况，对标的公司主要资产情况、主要经营资质、管理人员团队、生产经营合法合规情况等有关内容进行了更新。</w:t>
      </w:r>
    </w:p>
    <w:p>
      <w:pPr>
        <w:spacing w:line="360" w:lineRule="auto"/>
        <w:ind w:firstLine="482" w:firstLineChars="200"/>
        <w:contextualSpacing/>
        <w:rPr>
          <w:rFonts w:ascii="Times New Roman" w:hAnsi="Times New Roman" w:eastAsia="宋体" w:cs="Times New Roman"/>
          <w:b/>
          <w:bCs/>
          <w:sz w:val="24"/>
          <w:szCs w:val="28"/>
        </w:rPr>
      </w:pPr>
      <w:r>
        <w:rPr>
          <w:rFonts w:ascii="Times New Roman" w:hAnsi="Times New Roman" w:eastAsia="宋体" w:cs="Times New Roman"/>
          <w:b/>
          <w:bCs/>
          <w:sz w:val="24"/>
          <w:szCs w:val="28"/>
        </w:rPr>
        <w:t>6</w:t>
      </w:r>
      <w:r>
        <w:rPr>
          <w:rFonts w:hint="eastAsia" w:ascii="Times New Roman" w:hAnsi="Times New Roman" w:eastAsia="宋体" w:cs="Times New Roman"/>
          <w:b/>
          <w:bCs/>
          <w:sz w:val="24"/>
          <w:szCs w:val="28"/>
        </w:rPr>
        <w:t>、“第六节 本次交易主要合同”</w:t>
      </w:r>
    </w:p>
    <w:p>
      <w:pPr>
        <w:spacing w:line="360" w:lineRule="auto"/>
        <w:ind w:firstLine="480" w:firstLineChars="200"/>
        <w:contextualSpacing/>
        <w:rPr>
          <w:rFonts w:ascii="Times New Roman" w:hAnsi="Times New Roman" w:eastAsia="宋体" w:cs="Times New Roman"/>
          <w:sz w:val="24"/>
          <w:szCs w:val="28"/>
        </w:rPr>
      </w:pPr>
      <w:r>
        <w:rPr>
          <w:rFonts w:hint="eastAsia" w:ascii="Times New Roman" w:hAnsi="Times New Roman" w:eastAsia="宋体" w:cs="Times New Roman"/>
          <w:sz w:val="24"/>
          <w:szCs w:val="28"/>
        </w:rPr>
        <w:t>根据调整后的交易方案及各方签署的交易协议，对本节“发行股份及支付现金购买资产协议的主要内容”进行了更新，并补充披露了上市公司与中广核核技术签署的“《股份认购协议》的主要内容”。</w:t>
      </w:r>
    </w:p>
    <w:p>
      <w:pPr>
        <w:spacing w:line="360" w:lineRule="auto"/>
        <w:ind w:firstLine="482" w:firstLineChars="200"/>
        <w:contextualSpacing/>
        <w:rPr>
          <w:rFonts w:ascii="Times New Roman" w:hAnsi="Times New Roman" w:eastAsia="宋体" w:cs="Times New Roman"/>
          <w:b/>
          <w:bCs/>
          <w:sz w:val="24"/>
          <w:szCs w:val="28"/>
        </w:rPr>
      </w:pPr>
      <w:r>
        <w:rPr>
          <w:rFonts w:hint="eastAsia" w:ascii="Times New Roman" w:hAnsi="Times New Roman" w:eastAsia="宋体" w:cs="Times New Roman"/>
          <w:b/>
          <w:bCs/>
          <w:sz w:val="24"/>
          <w:szCs w:val="28"/>
        </w:rPr>
        <w:t>7、“第七节 发行股份的情况”</w:t>
      </w:r>
    </w:p>
    <w:p>
      <w:pPr>
        <w:spacing w:line="360" w:lineRule="auto"/>
        <w:ind w:firstLine="480" w:firstLineChars="200"/>
        <w:contextualSpacing/>
        <w:rPr>
          <w:rFonts w:ascii="Times New Roman" w:hAnsi="Times New Roman" w:eastAsia="宋体" w:cs="Times New Roman"/>
          <w:sz w:val="24"/>
          <w:szCs w:val="28"/>
        </w:rPr>
      </w:pPr>
      <w:r>
        <w:rPr>
          <w:rFonts w:hint="eastAsia" w:ascii="Times New Roman" w:hAnsi="Times New Roman" w:eastAsia="宋体" w:cs="Times New Roman"/>
          <w:sz w:val="24"/>
          <w:szCs w:val="28"/>
        </w:rPr>
        <w:t>根据调整后的交易方案、各方签署的交易协议及更新后的备考审阅报告，对本节“一、发行股份购买资产情况”、“三、本次交易前后主要财务数据的变化”、“四、本次发行股份前后上市公司股权结构的变化”进行更新；并补充披露了“发行股份募集配套资金情况”相关内容。</w:t>
      </w:r>
    </w:p>
    <w:p>
      <w:pPr>
        <w:spacing w:line="360" w:lineRule="auto"/>
        <w:ind w:firstLine="482" w:firstLineChars="200"/>
        <w:contextualSpacing/>
        <w:rPr>
          <w:rFonts w:ascii="Times New Roman" w:hAnsi="Times New Roman" w:eastAsia="宋体" w:cs="Times New Roman"/>
          <w:b/>
          <w:bCs/>
          <w:sz w:val="24"/>
          <w:szCs w:val="28"/>
        </w:rPr>
      </w:pPr>
      <w:r>
        <w:rPr>
          <w:rFonts w:ascii="Times New Roman" w:hAnsi="Times New Roman" w:eastAsia="宋体" w:cs="Times New Roman"/>
          <w:b/>
          <w:bCs/>
          <w:sz w:val="24"/>
          <w:szCs w:val="28"/>
        </w:rPr>
        <w:t>8</w:t>
      </w:r>
      <w:r>
        <w:rPr>
          <w:rFonts w:hint="eastAsia" w:ascii="Times New Roman" w:hAnsi="Times New Roman" w:eastAsia="宋体" w:cs="Times New Roman"/>
          <w:b/>
          <w:bCs/>
          <w:sz w:val="24"/>
          <w:szCs w:val="28"/>
        </w:rPr>
        <w:t>、“第八节 本次交易的合规性分析”</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根据中国证券监督管理委员会及深圳证券交易所发布关于重大资产重组的最新规定更新合规性分析相关内容。</w:t>
      </w:r>
    </w:p>
    <w:p>
      <w:pPr>
        <w:spacing w:line="360" w:lineRule="auto"/>
        <w:ind w:firstLine="482" w:firstLineChars="200"/>
        <w:contextualSpacing/>
        <w:rPr>
          <w:rFonts w:ascii="Times New Roman" w:hAnsi="Times New Roman" w:eastAsia="宋体" w:cs="Times New Roman"/>
          <w:b/>
          <w:bCs/>
          <w:sz w:val="24"/>
          <w:szCs w:val="28"/>
        </w:rPr>
      </w:pPr>
      <w:r>
        <w:rPr>
          <w:rFonts w:ascii="Times New Roman" w:hAnsi="Times New Roman" w:eastAsia="宋体" w:cs="Times New Roman"/>
          <w:b/>
          <w:bCs/>
          <w:sz w:val="24"/>
          <w:szCs w:val="28"/>
        </w:rPr>
        <w:t>9</w:t>
      </w:r>
      <w:r>
        <w:rPr>
          <w:rFonts w:hint="eastAsia" w:ascii="Times New Roman" w:hAnsi="Times New Roman" w:eastAsia="宋体" w:cs="Times New Roman"/>
          <w:b/>
          <w:bCs/>
          <w:sz w:val="24"/>
          <w:szCs w:val="28"/>
        </w:rPr>
        <w:t>、“第九节 管理层讨论与分析”</w:t>
      </w:r>
    </w:p>
    <w:p>
      <w:pPr>
        <w:spacing w:line="360" w:lineRule="auto"/>
        <w:ind w:firstLine="480" w:firstLineChars="200"/>
        <w:rPr>
          <w:rFonts w:hint="eastAsia" w:ascii="Times New Roman" w:hAnsi="Times New Roman" w:eastAsia="宋体" w:cs="Times New Roman"/>
          <w:sz w:val="24"/>
          <w:szCs w:val="28"/>
        </w:rPr>
      </w:pPr>
      <w:r>
        <w:rPr>
          <w:rFonts w:hint="eastAsia" w:ascii="Times New Roman" w:hAnsi="Times New Roman" w:eastAsia="宋体" w:cs="Times New Roman"/>
          <w:sz w:val="24"/>
          <w:szCs w:val="28"/>
        </w:rPr>
        <w:t>更新并调整了2</w:t>
      </w:r>
      <w:r>
        <w:rPr>
          <w:rFonts w:ascii="Times New Roman" w:hAnsi="Times New Roman" w:eastAsia="宋体" w:cs="Times New Roman"/>
          <w:sz w:val="24"/>
          <w:szCs w:val="28"/>
        </w:rPr>
        <w:t>021</w:t>
      </w:r>
      <w:r>
        <w:rPr>
          <w:rFonts w:hint="eastAsia" w:ascii="Times New Roman" w:hAnsi="Times New Roman" w:eastAsia="宋体" w:cs="Times New Roman"/>
          <w:sz w:val="24"/>
          <w:szCs w:val="28"/>
        </w:rPr>
        <w:t>年度、2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年度和</w:t>
      </w:r>
      <w:r>
        <w:rPr>
          <w:rFonts w:ascii="Times New Roman" w:hAnsi="Times New Roman" w:eastAsia="宋体" w:cs="Times New Roman"/>
          <w:sz w:val="24"/>
          <w:szCs w:val="28"/>
        </w:rPr>
        <w:t>2023年1-4月财务数据及相关分析</w:t>
      </w:r>
      <w:r>
        <w:rPr>
          <w:rFonts w:hint="eastAsia" w:ascii="Times New Roman" w:hAnsi="Times New Roman" w:eastAsia="宋体" w:cs="Times New Roman"/>
          <w:sz w:val="24"/>
          <w:szCs w:val="28"/>
        </w:rPr>
        <w:t>。</w:t>
      </w:r>
    </w:p>
    <w:p>
      <w:pPr>
        <w:spacing w:line="360" w:lineRule="auto"/>
        <w:ind w:firstLine="482" w:firstLineChars="200"/>
        <w:contextualSpacing/>
        <w:rPr>
          <w:rFonts w:ascii="Times New Roman" w:hAnsi="Times New Roman" w:eastAsia="宋体" w:cs="Times New Roman"/>
          <w:b/>
          <w:bCs/>
          <w:sz w:val="24"/>
          <w:szCs w:val="28"/>
        </w:rPr>
      </w:pPr>
      <w:r>
        <w:rPr>
          <w:rFonts w:ascii="Times New Roman" w:hAnsi="Times New Roman" w:eastAsia="宋体" w:cs="Times New Roman"/>
          <w:b/>
          <w:bCs/>
          <w:sz w:val="24"/>
          <w:szCs w:val="28"/>
        </w:rPr>
        <w:t>10</w:t>
      </w:r>
      <w:r>
        <w:rPr>
          <w:rFonts w:hint="eastAsia" w:ascii="Times New Roman" w:hAnsi="Times New Roman" w:eastAsia="宋体" w:cs="Times New Roman"/>
          <w:b/>
          <w:bCs/>
          <w:sz w:val="24"/>
          <w:szCs w:val="28"/>
        </w:rPr>
        <w:t>、“第十一节 关联交易与同业竞争”</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根据上市公司有关本次交易前同业竞争的解决情况，更新相关内容。</w:t>
      </w:r>
    </w:p>
    <w:p>
      <w:pPr>
        <w:spacing w:line="360" w:lineRule="auto"/>
        <w:ind w:firstLine="482" w:firstLineChars="200"/>
        <w:contextualSpacing/>
        <w:rPr>
          <w:rFonts w:ascii="Times New Roman" w:hAnsi="Times New Roman" w:eastAsia="宋体" w:cs="Times New Roman"/>
          <w:b/>
          <w:bCs/>
          <w:sz w:val="24"/>
          <w:szCs w:val="28"/>
        </w:rPr>
      </w:pPr>
      <w:r>
        <w:rPr>
          <w:rFonts w:ascii="Times New Roman" w:hAnsi="Times New Roman" w:eastAsia="宋体" w:cs="Times New Roman"/>
          <w:b/>
          <w:bCs/>
          <w:sz w:val="24"/>
          <w:szCs w:val="28"/>
        </w:rPr>
        <w:t>11</w:t>
      </w:r>
      <w:r>
        <w:rPr>
          <w:rFonts w:hint="eastAsia" w:ascii="Times New Roman" w:hAnsi="Times New Roman" w:eastAsia="宋体" w:cs="Times New Roman"/>
          <w:b/>
          <w:bCs/>
          <w:sz w:val="24"/>
          <w:szCs w:val="28"/>
        </w:rPr>
        <w:t>、“第十二节 风险因素”</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根据调整后的交易方案，补充披露与本次交易相关及与标的资产相关的风险。</w:t>
      </w:r>
    </w:p>
    <w:p>
      <w:pPr>
        <w:spacing w:line="360" w:lineRule="auto"/>
        <w:ind w:firstLine="482" w:firstLineChars="200"/>
        <w:contextualSpacing/>
        <w:rPr>
          <w:rFonts w:ascii="Times New Roman" w:hAnsi="Times New Roman" w:eastAsia="宋体" w:cs="Times New Roman"/>
          <w:b/>
          <w:bCs/>
          <w:sz w:val="24"/>
          <w:szCs w:val="28"/>
        </w:rPr>
      </w:pPr>
      <w:r>
        <w:rPr>
          <w:rFonts w:ascii="Times New Roman" w:hAnsi="Times New Roman" w:eastAsia="宋体" w:cs="Times New Roman"/>
          <w:b/>
          <w:bCs/>
          <w:sz w:val="24"/>
          <w:szCs w:val="28"/>
        </w:rPr>
        <w:t>12</w:t>
      </w:r>
      <w:r>
        <w:rPr>
          <w:rFonts w:hint="eastAsia" w:ascii="Times New Roman" w:hAnsi="Times New Roman" w:eastAsia="宋体" w:cs="Times New Roman"/>
          <w:b/>
          <w:bCs/>
          <w:sz w:val="24"/>
          <w:szCs w:val="28"/>
        </w:rPr>
        <w:t>、“第十三节 其他重要事项”</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更新本次调整交易方案后信息发布前公司股价波动情况，补充披露本次交易相关方股票自查的相关进度。</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具体修订内容详见公司在深圳证券交易所法定信息披露平台上披露的《</w:t>
      </w:r>
      <w:r>
        <w:rPr>
          <w:rFonts w:ascii="Times New Roman" w:hAnsi="Times New Roman" w:eastAsia="宋体" w:cs="Times New Roman"/>
          <w:sz w:val="24"/>
          <w:szCs w:val="28"/>
        </w:rPr>
        <w:t>《</w:t>
      </w:r>
      <w:r>
        <w:rPr>
          <w:rFonts w:hint="eastAsia" w:ascii="Times New Roman" w:hAnsi="Times New Roman" w:eastAsia="宋体" w:cs="Times New Roman"/>
          <w:sz w:val="24"/>
          <w:szCs w:val="28"/>
        </w:rPr>
        <w:t>中广核核技术发展股份有限公司发行股份及支付现金购买资产并募集配套资金暨关联交易报告书（草案）（修订稿）》及其摘要中的相关内容。</w:t>
      </w:r>
    </w:p>
    <w:p>
      <w:pPr>
        <w:spacing w:line="360" w:lineRule="auto"/>
        <w:ind w:firstLine="480" w:firstLineChars="200"/>
        <w:rPr>
          <w:rFonts w:hint="eastAsia" w:ascii="Times New Roman" w:hAnsi="Times New Roman" w:eastAsia="宋体" w:cs="Times New Roman"/>
          <w:sz w:val="24"/>
          <w:szCs w:val="28"/>
        </w:rPr>
      </w:pPr>
      <w:r>
        <w:rPr>
          <w:rFonts w:hint="eastAsia" w:ascii="Times New Roman" w:hAnsi="Times New Roman" w:eastAsia="宋体" w:cs="Times New Roman"/>
          <w:sz w:val="24"/>
          <w:szCs w:val="28"/>
        </w:rPr>
        <w:t>特此公告。</w:t>
      </w:r>
    </w:p>
    <w:p>
      <w:pPr>
        <w:spacing w:line="360" w:lineRule="auto"/>
        <w:ind w:firstLine="480" w:firstLineChars="200"/>
        <w:rPr>
          <w:rFonts w:hint="eastAsia" w:ascii="Times New Roman" w:hAnsi="Times New Roman" w:eastAsia="宋体" w:cs="Times New Roman"/>
          <w:sz w:val="24"/>
          <w:szCs w:val="28"/>
        </w:rPr>
      </w:pPr>
    </w:p>
    <w:p>
      <w:pPr>
        <w:spacing w:line="360" w:lineRule="auto"/>
        <w:ind w:firstLine="480" w:firstLineChars="200"/>
        <w:rPr>
          <w:rFonts w:hint="eastAsia" w:ascii="Times New Roman" w:hAnsi="Times New Roman" w:eastAsia="宋体" w:cs="Times New Roman"/>
          <w:sz w:val="24"/>
          <w:szCs w:val="28"/>
        </w:rPr>
      </w:pPr>
    </w:p>
    <w:p>
      <w:pPr>
        <w:spacing w:line="360" w:lineRule="auto"/>
        <w:ind w:firstLine="480" w:firstLineChars="200"/>
        <w:rPr>
          <w:rFonts w:hint="eastAsia" w:ascii="Times New Roman" w:hAnsi="Times New Roman" w:eastAsia="宋体" w:cs="Times New Roman"/>
          <w:sz w:val="24"/>
          <w:szCs w:val="28"/>
        </w:rPr>
      </w:pPr>
    </w:p>
    <w:p>
      <w:pPr>
        <w:spacing w:line="360" w:lineRule="auto"/>
        <w:ind w:firstLine="482" w:firstLineChars="200"/>
        <w:jc w:val="right"/>
        <w:rPr>
          <w:rFonts w:ascii="Times New Roman" w:hAnsi="Times New Roman" w:eastAsia="宋体" w:cs="Times New Roman"/>
          <w:b/>
          <w:bCs/>
          <w:sz w:val="24"/>
          <w:szCs w:val="28"/>
        </w:rPr>
      </w:pPr>
      <w:r>
        <w:rPr>
          <w:rFonts w:ascii="Times New Roman" w:hAnsi="Times New Roman" w:eastAsia="宋体" w:cs="Times New Roman"/>
          <w:b/>
          <w:bCs/>
          <w:sz w:val="24"/>
          <w:szCs w:val="28"/>
        </w:rPr>
        <w:t>中广核核技术发展股份有限公司</w:t>
      </w:r>
    </w:p>
    <w:p>
      <w:pPr>
        <w:spacing w:line="360" w:lineRule="auto"/>
        <w:ind w:firstLine="482" w:firstLineChars="200"/>
        <w:jc w:val="right"/>
        <w:rPr>
          <w:rFonts w:ascii="Times New Roman" w:hAnsi="Times New Roman" w:eastAsia="宋体" w:cs="Times New Roman"/>
          <w:b/>
          <w:bCs/>
          <w:sz w:val="24"/>
          <w:szCs w:val="28"/>
        </w:rPr>
      </w:pPr>
      <w:r>
        <w:rPr>
          <w:rFonts w:ascii="Times New Roman" w:hAnsi="Times New Roman" w:eastAsia="宋体" w:cs="Times New Roman"/>
          <w:b/>
          <w:bCs/>
          <w:sz w:val="24"/>
          <w:szCs w:val="28"/>
        </w:rPr>
        <w:t>董事会</w:t>
      </w:r>
    </w:p>
    <w:p>
      <w:pPr>
        <w:spacing w:line="360" w:lineRule="auto"/>
        <w:ind w:firstLine="482" w:firstLineChars="200"/>
        <w:jc w:val="right"/>
        <w:rPr>
          <w:rFonts w:ascii="Times New Roman" w:hAnsi="Times New Roman" w:eastAsia="宋体" w:cs="Times New Roman"/>
          <w:b/>
          <w:bCs/>
          <w:sz w:val="24"/>
          <w:szCs w:val="28"/>
        </w:rPr>
      </w:pPr>
      <w:r>
        <w:rPr>
          <w:rFonts w:ascii="Times New Roman" w:hAnsi="Times New Roman" w:eastAsia="宋体" w:cs="Times New Roman"/>
          <w:b/>
          <w:bCs/>
          <w:sz w:val="24"/>
          <w:szCs w:val="28"/>
        </w:rPr>
        <w:t>2023年8月28日</w:t>
      </w:r>
    </w:p>
    <w:p>
      <w:pPr>
        <w:spacing w:line="360" w:lineRule="auto"/>
        <w:ind w:firstLine="480" w:firstLineChars="200"/>
        <w:rPr>
          <w:rFonts w:ascii="Times New Roman" w:hAnsi="Times New Roman" w:eastAsia="宋体" w:cs="Times New Roman"/>
          <w:sz w:val="24"/>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00D2"/>
    <w:rsid w:val="000F00BA"/>
    <w:rsid w:val="00133275"/>
    <w:rsid w:val="00160CF5"/>
    <w:rsid w:val="00164D68"/>
    <w:rsid w:val="001D3A04"/>
    <w:rsid w:val="001F7F62"/>
    <w:rsid w:val="002143A3"/>
    <w:rsid w:val="00253DD6"/>
    <w:rsid w:val="00281CBD"/>
    <w:rsid w:val="002A0214"/>
    <w:rsid w:val="003A1272"/>
    <w:rsid w:val="003A264B"/>
    <w:rsid w:val="003E328F"/>
    <w:rsid w:val="00436791"/>
    <w:rsid w:val="00462439"/>
    <w:rsid w:val="004D05FC"/>
    <w:rsid w:val="004E54C2"/>
    <w:rsid w:val="004F255A"/>
    <w:rsid w:val="00504D47"/>
    <w:rsid w:val="005755FC"/>
    <w:rsid w:val="00580404"/>
    <w:rsid w:val="005A2D71"/>
    <w:rsid w:val="005F7861"/>
    <w:rsid w:val="00602D52"/>
    <w:rsid w:val="006100D2"/>
    <w:rsid w:val="00674538"/>
    <w:rsid w:val="00710856"/>
    <w:rsid w:val="007244E0"/>
    <w:rsid w:val="007D11A1"/>
    <w:rsid w:val="0087698F"/>
    <w:rsid w:val="00947B88"/>
    <w:rsid w:val="00A3469D"/>
    <w:rsid w:val="00A533DE"/>
    <w:rsid w:val="00A761D4"/>
    <w:rsid w:val="00A87310"/>
    <w:rsid w:val="00AF11D2"/>
    <w:rsid w:val="00C04437"/>
    <w:rsid w:val="00C12FEF"/>
    <w:rsid w:val="00C15A08"/>
    <w:rsid w:val="00CD013B"/>
    <w:rsid w:val="00CD08B1"/>
    <w:rsid w:val="00CF153D"/>
    <w:rsid w:val="00D30285"/>
    <w:rsid w:val="00D8405E"/>
    <w:rsid w:val="00D8771B"/>
    <w:rsid w:val="00DF1D15"/>
    <w:rsid w:val="00E05BE9"/>
    <w:rsid w:val="00E3419C"/>
    <w:rsid w:val="00EB6500"/>
    <w:rsid w:val="00F16605"/>
    <w:rsid w:val="00F34B44"/>
    <w:rsid w:val="05ED267C"/>
    <w:rsid w:val="0B4C48CD"/>
    <w:rsid w:val="4D441F3C"/>
    <w:rsid w:val="5A50085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qFormat/>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302</Words>
  <Characters>1727</Characters>
  <Lines>14</Lines>
  <Paragraphs>4</Paragraphs>
  <TotalTime>2</TotalTime>
  <ScaleCrop>false</ScaleCrop>
  <LinksUpToDate>false</LinksUpToDate>
  <CharactersWithSpaces>2025</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2022-06-08T08:43:00Z</dcterms:created>
  <dc:creator>Xie Samuel</dc:creator>
  <cp:lastModifiedBy>牟海涛</cp:lastModifiedBy>
  <dcterms:modified xsi:type="dcterms:W3CDTF">2023-08-25T07:33:02Z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