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200" w:after="1000" w:line="560" w:lineRule="exact"/>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rPr>
        <w:t>证券代码：000881                证券简称：中广核技                公告编号：</w:t>
      </w:r>
      <w:r>
        <w:rPr>
          <w:rFonts w:hint="default" w:ascii="Times New Roman" w:hAnsi="Times New Roman" w:eastAsia="宋体" w:cs="Times New Roman"/>
          <w:sz w:val="21"/>
          <w:szCs w:val="21"/>
          <w:lang w:val="en-US" w:eastAsia="zh-CN"/>
        </w:rPr>
        <w:t>2023-077</w:t>
      </w:r>
    </w:p>
    <w:p>
      <w:pPr>
        <w:spacing w:before="0" w:after="1000" w:line="400" w:lineRule="exact"/>
        <w:jc w:val="center"/>
        <w:rPr>
          <w:rFonts w:ascii="宋体" w:hAnsi="宋体" w:eastAsia="宋体" w:cs="宋体"/>
          <w:b/>
          <w:bCs/>
          <w:sz w:val="36"/>
          <w:szCs w:val="36"/>
        </w:rPr>
      </w:pPr>
      <w:r>
        <w:rPr>
          <w:rFonts w:ascii="宋体" w:hAnsi="宋体" w:eastAsia="宋体" w:cs="宋体"/>
          <w:b/>
          <w:bCs/>
          <w:sz w:val="36"/>
          <w:szCs w:val="36"/>
        </w:rPr>
        <w:t>中广核核技术发展股份有限公司2023年半年度报告摘要</w:t>
      </w:r>
    </w:p>
    <w:p>
      <w:pPr>
        <w:keepNext/>
        <w:keepLines/>
        <w:spacing w:before="300" w:after="300" w:line="320" w:lineRule="exact"/>
        <w:jc w:val="left"/>
        <w:outlineLvl w:val="1"/>
        <w:rPr>
          <w:rFonts w:ascii="宋体" w:hAnsi="宋体" w:eastAsia="宋体" w:cs="宋体"/>
          <w:b/>
          <w:bCs/>
          <w:sz w:val="24"/>
          <w:szCs w:val="24"/>
        </w:rPr>
      </w:pPr>
      <w:bookmarkStart w:id="0" w:name="_Toc988889"/>
      <w:r>
        <w:rPr>
          <w:rFonts w:ascii="宋体" w:hAnsi="宋体" w:eastAsia="宋体" w:cs="宋体"/>
          <w:b/>
          <w:bCs/>
          <w:sz w:val="24"/>
          <w:szCs w:val="24"/>
        </w:rPr>
        <w:t>一、重要提示</w:t>
      </w:r>
      <w:bookmarkEnd w:id="0"/>
    </w:p>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ascii="宋体" w:hAnsi="宋体" w:eastAsia="宋体" w:cs="宋体"/>
          <w:sz w:val="21"/>
          <w:szCs w:val="21"/>
        </w:rPr>
      </w:pPr>
      <w:r>
        <w:rPr>
          <w:rFonts w:ascii="宋体" w:hAnsi="宋体" w:eastAsia="宋体" w:cs="宋体"/>
          <w:sz w:val="21"/>
          <w:szCs w:val="21"/>
        </w:rPr>
        <w:t>本半年度报告摘要来自半年度报告全文，为全面了解本公司的经营成果、财务状况及未来发展规划，投资者应当到证监会指定媒体仔细阅读半年度报告全文。</w:t>
      </w:r>
    </w:p>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ascii="宋体" w:hAnsi="宋体" w:eastAsia="宋体" w:cs="宋体"/>
          <w:sz w:val="21"/>
          <w:szCs w:val="21"/>
        </w:rPr>
      </w:pPr>
      <w:r>
        <w:rPr>
          <w:rFonts w:ascii="宋体" w:hAnsi="宋体" w:eastAsia="宋体" w:cs="宋体"/>
          <w:sz w:val="21"/>
          <w:szCs w:val="21"/>
        </w:rPr>
        <w:t>所有董事均已出席了审议本报告的董事会会议。</w:t>
      </w:r>
    </w:p>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ascii="宋体" w:hAnsi="宋体" w:eastAsia="宋体" w:cs="宋体"/>
          <w:sz w:val="21"/>
          <w:szCs w:val="21"/>
        </w:rPr>
      </w:pPr>
      <w:r>
        <w:rPr>
          <w:rFonts w:ascii="宋体" w:hAnsi="宋体" w:eastAsia="宋体" w:cs="宋体"/>
          <w:sz w:val="21"/>
          <w:szCs w:val="21"/>
        </w:rPr>
        <w:t>非标准审计意见提示</w:t>
      </w:r>
    </w:p>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ascii="宋体" w:hAnsi="宋体" w:eastAsia="宋体" w:cs="宋体"/>
          <w:sz w:val="21"/>
          <w:szCs w:val="21"/>
        </w:rPr>
      </w:pPr>
      <w:r>
        <w:rPr>
          <w:rFonts w:ascii="宋体" w:hAnsi="宋体" w:eastAsia="宋体" w:cs="宋体"/>
          <w:sz w:val="21"/>
          <w:szCs w:val="21"/>
        </w:rPr>
        <w:t xml:space="preserve">□适用 </w:t>
      </w:r>
      <w:r>
        <w:rPr>
          <w:rFonts w:ascii="宋体" w:hAnsi="宋体" w:eastAsia="宋体" w:cs="宋体"/>
          <w:sz w:val="21"/>
          <w:szCs w:val="21"/>
        </w:rPr>
        <w:sym w:font="Wingdings 2" w:char="F052"/>
      </w:r>
      <w:r>
        <w:rPr>
          <w:rFonts w:ascii="宋体" w:hAnsi="宋体" w:eastAsia="宋体" w:cs="宋体"/>
          <w:sz w:val="21"/>
          <w:szCs w:val="21"/>
        </w:rPr>
        <w:t>不适用</w:t>
      </w:r>
    </w:p>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ascii="宋体" w:hAnsi="宋体" w:eastAsia="宋体" w:cs="宋体"/>
          <w:sz w:val="21"/>
          <w:szCs w:val="21"/>
        </w:rPr>
      </w:pPr>
      <w:r>
        <w:rPr>
          <w:rFonts w:ascii="宋体" w:hAnsi="宋体" w:eastAsia="宋体" w:cs="宋体"/>
          <w:sz w:val="21"/>
          <w:szCs w:val="21"/>
        </w:rPr>
        <w:t>董事会审议的报告期普通股利润分配预案或公积金转增股本预案</w:t>
      </w:r>
    </w:p>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ascii="宋体" w:hAnsi="宋体" w:eastAsia="宋体" w:cs="宋体"/>
          <w:sz w:val="21"/>
          <w:szCs w:val="21"/>
        </w:rPr>
      </w:pPr>
      <w:r>
        <w:rPr>
          <w:rFonts w:ascii="宋体" w:hAnsi="宋体" w:eastAsia="宋体" w:cs="宋体"/>
          <w:sz w:val="21"/>
          <w:szCs w:val="21"/>
        </w:rPr>
        <w:t xml:space="preserve">□适用 </w:t>
      </w:r>
      <w:r>
        <w:rPr>
          <w:rFonts w:ascii="宋体" w:hAnsi="宋体" w:eastAsia="宋体" w:cs="宋体"/>
          <w:sz w:val="21"/>
          <w:szCs w:val="21"/>
        </w:rPr>
        <w:sym w:font="Wingdings 2" w:char="F052"/>
      </w:r>
      <w:r>
        <w:rPr>
          <w:rFonts w:ascii="宋体" w:hAnsi="宋体" w:eastAsia="宋体" w:cs="宋体"/>
          <w:sz w:val="21"/>
          <w:szCs w:val="21"/>
        </w:rPr>
        <w:t>不适用</w:t>
      </w:r>
    </w:p>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ascii="宋体" w:hAnsi="宋体" w:eastAsia="宋体" w:cs="宋体"/>
          <w:sz w:val="21"/>
          <w:szCs w:val="21"/>
        </w:rPr>
      </w:pPr>
      <w:r>
        <w:rPr>
          <w:rFonts w:ascii="宋体" w:hAnsi="宋体" w:eastAsia="宋体" w:cs="宋体"/>
          <w:sz w:val="21"/>
          <w:szCs w:val="21"/>
        </w:rPr>
        <w:t>公司计划不派发现金红利，不送红股，不以公积金转增股本。</w:t>
      </w:r>
    </w:p>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ascii="宋体" w:hAnsi="宋体" w:eastAsia="宋体" w:cs="宋体"/>
          <w:sz w:val="21"/>
          <w:szCs w:val="21"/>
        </w:rPr>
      </w:pPr>
      <w:r>
        <w:rPr>
          <w:rFonts w:ascii="宋体" w:hAnsi="宋体" w:eastAsia="宋体" w:cs="宋体"/>
          <w:sz w:val="21"/>
          <w:szCs w:val="21"/>
        </w:rPr>
        <w:t>董事会决议通过的本报告期优先股利润分配预案</w:t>
      </w:r>
    </w:p>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ascii="宋体" w:hAnsi="宋体" w:eastAsia="宋体" w:cs="宋体"/>
          <w:sz w:val="21"/>
          <w:szCs w:val="21"/>
        </w:rPr>
      </w:pPr>
      <w:r>
        <w:rPr>
          <w:rFonts w:ascii="宋体" w:hAnsi="宋体" w:eastAsia="宋体" w:cs="宋体"/>
          <w:sz w:val="21"/>
          <w:szCs w:val="21"/>
        </w:rPr>
        <w:t xml:space="preserve">□适用 </w:t>
      </w:r>
      <w:r>
        <w:rPr>
          <w:rFonts w:ascii="宋体" w:hAnsi="宋体" w:eastAsia="宋体" w:cs="宋体"/>
          <w:sz w:val="21"/>
          <w:szCs w:val="21"/>
        </w:rPr>
        <w:sym w:font="Wingdings 2" w:char="F052"/>
      </w:r>
      <w:r>
        <w:rPr>
          <w:rFonts w:ascii="宋体" w:hAnsi="宋体" w:eastAsia="宋体" w:cs="宋体"/>
          <w:sz w:val="21"/>
          <w:szCs w:val="21"/>
        </w:rPr>
        <w:t>不适用</w:t>
      </w:r>
    </w:p>
    <w:p>
      <w:pPr>
        <w:keepNext/>
        <w:keepLines/>
        <w:spacing w:before="300" w:after="300" w:line="320" w:lineRule="exact"/>
        <w:jc w:val="left"/>
        <w:outlineLvl w:val="1"/>
        <w:rPr>
          <w:rFonts w:ascii="宋体" w:hAnsi="宋体" w:eastAsia="宋体" w:cs="宋体"/>
          <w:b/>
          <w:bCs/>
          <w:sz w:val="24"/>
          <w:szCs w:val="24"/>
        </w:rPr>
      </w:pPr>
      <w:bookmarkStart w:id="1" w:name="_Toc988890"/>
      <w:r>
        <w:rPr>
          <w:rFonts w:ascii="宋体" w:hAnsi="宋体" w:eastAsia="宋体" w:cs="宋体"/>
          <w:b/>
          <w:bCs/>
          <w:sz w:val="24"/>
          <w:szCs w:val="24"/>
        </w:rPr>
        <w:t>二、公司基本情况</w:t>
      </w:r>
      <w:bookmarkEnd w:id="1"/>
    </w:p>
    <w:p>
      <w:pPr>
        <w:keepNext/>
        <w:keepLines/>
        <w:spacing w:before="300" w:after="300" w:line="280" w:lineRule="exact"/>
        <w:jc w:val="left"/>
        <w:outlineLvl w:val="2"/>
        <w:rPr>
          <w:rFonts w:ascii="宋体" w:hAnsi="宋体" w:eastAsia="宋体" w:cs="宋体"/>
          <w:b/>
          <w:bCs/>
          <w:sz w:val="21"/>
          <w:szCs w:val="21"/>
        </w:rPr>
      </w:pPr>
      <w:bookmarkStart w:id="2" w:name="_Toc988891"/>
      <w:r>
        <w:rPr>
          <w:rFonts w:ascii="宋体" w:hAnsi="宋体" w:eastAsia="宋体" w:cs="宋体"/>
          <w:b/>
          <w:bCs/>
          <w:sz w:val="21"/>
          <w:szCs w:val="21"/>
        </w:rPr>
        <w:t>1、公司简介</w:t>
      </w:r>
      <w:bookmarkEnd w:id="2"/>
    </w:p>
    <w:tbl>
      <w:tblPr>
        <w:tblStyle w:val="3"/>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2142"/>
        <w:gridCol w:w="1071"/>
        <w:gridCol w:w="1071"/>
        <w:gridCol w:w="2142"/>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pPr>
              <w:spacing w:before="40" w:after="40" w:line="240" w:lineRule="exact"/>
              <w:jc w:val="lef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股票简称</w:t>
            </w:r>
          </w:p>
        </w:tc>
        <w:tc>
          <w:tcPr>
            <w:tcW w:w="2142"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lef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中广核技</w:t>
            </w:r>
          </w:p>
        </w:tc>
        <w:tc>
          <w:tcPr>
            <w:tcW w:w="2142" w:type="dxa"/>
            <w:gridSpan w:val="2"/>
            <w:tcBorders>
              <w:top w:val="single" w:color="auto" w:sz="2" w:space="0"/>
              <w:left w:val="single" w:color="auto" w:sz="2" w:space="0"/>
              <w:bottom w:val="single" w:color="auto" w:sz="2" w:space="0"/>
              <w:right w:val="single" w:color="auto" w:sz="2" w:space="0"/>
            </w:tcBorders>
            <w:shd w:val="clear" w:color="auto" w:fill="D3D3D3"/>
            <w:vAlign w:val="center"/>
          </w:tcPr>
          <w:p>
            <w:pPr>
              <w:spacing w:before="40" w:after="40" w:line="240" w:lineRule="exact"/>
              <w:jc w:val="lef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股票代码</w:t>
            </w:r>
          </w:p>
        </w:tc>
        <w:tc>
          <w:tcPr>
            <w:tcW w:w="2142"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lef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000881</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pPr>
              <w:spacing w:before="40" w:after="40" w:line="240" w:lineRule="exact"/>
              <w:jc w:val="lef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股票上市交易所</w:t>
            </w:r>
          </w:p>
        </w:tc>
        <w:tc>
          <w:tcPr>
            <w:tcW w:w="6426" w:type="dxa"/>
            <w:gridSpan w:val="4"/>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lef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深圳证券交易所</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pPr>
              <w:spacing w:before="40" w:after="40" w:line="24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联系人和联系方式</w:t>
            </w:r>
          </w:p>
        </w:tc>
        <w:tc>
          <w:tcPr>
            <w:tcW w:w="3213" w:type="dxa"/>
            <w:gridSpan w:val="2"/>
            <w:tcBorders>
              <w:top w:val="single" w:color="auto" w:sz="2" w:space="0"/>
              <w:left w:val="single" w:color="auto" w:sz="2" w:space="0"/>
              <w:bottom w:val="single" w:color="auto" w:sz="2" w:space="0"/>
              <w:right w:val="single" w:color="auto" w:sz="2" w:space="0"/>
            </w:tcBorders>
            <w:shd w:val="clear" w:color="auto" w:fill="D3D3D3"/>
            <w:vAlign w:val="center"/>
          </w:tcPr>
          <w:p>
            <w:pPr>
              <w:spacing w:before="40" w:after="40" w:line="24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董事会秘书</w:t>
            </w:r>
          </w:p>
        </w:tc>
        <w:tc>
          <w:tcPr>
            <w:tcW w:w="3213" w:type="dxa"/>
            <w:gridSpan w:val="2"/>
            <w:tcBorders>
              <w:top w:val="single" w:color="auto" w:sz="2" w:space="0"/>
              <w:left w:val="single" w:color="auto" w:sz="2" w:space="0"/>
              <w:bottom w:val="single" w:color="auto" w:sz="2" w:space="0"/>
              <w:right w:val="single" w:color="auto" w:sz="2" w:space="0"/>
            </w:tcBorders>
            <w:shd w:val="clear" w:color="auto" w:fill="D3D3D3"/>
            <w:vAlign w:val="center"/>
          </w:tcPr>
          <w:p>
            <w:pPr>
              <w:spacing w:before="40" w:after="40" w:line="24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证券事务代表</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pPr>
              <w:spacing w:before="40" w:after="40" w:line="240" w:lineRule="exact"/>
              <w:jc w:val="lef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姓名</w:t>
            </w:r>
          </w:p>
        </w:tc>
        <w:tc>
          <w:tcPr>
            <w:tcW w:w="3213" w:type="dxa"/>
            <w:gridSpan w:val="2"/>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lef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杨新春</w:t>
            </w:r>
          </w:p>
        </w:tc>
        <w:tc>
          <w:tcPr>
            <w:tcW w:w="3213" w:type="dxa"/>
            <w:gridSpan w:val="2"/>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lef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吴卫卫</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pPr>
              <w:spacing w:before="40" w:after="40" w:line="240" w:lineRule="exact"/>
              <w:jc w:val="lef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办公地址</w:t>
            </w:r>
          </w:p>
        </w:tc>
        <w:tc>
          <w:tcPr>
            <w:tcW w:w="3213" w:type="dxa"/>
            <w:gridSpan w:val="2"/>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lef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深圳市福田区深南大道2002号中广核大厦北楼19层</w:t>
            </w:r>
          </w:p>
        </w:tc>
        <w:tc>
          <w:tcPr>
            <w:tcW w:w="3213" w:type="dxa"/>
            <w:gridSpan w:val="2"/>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lef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深圳市福田区深南大道2002号中广核大厦北楼19层</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pPr>
              <w:spacing w:before="40" w:after="40" w:line="240" w:lineRule="exact"/>
              <w:jc w:val="lef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电话</w:t>
            </w:r>
          </w:p>
        </w:tc>
        <w:tc>
          <w:tcPr>
            <w:tcW w:w="3213" w:type="dxa"/>
            <w:gridSpan w:val="2"/>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lef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0755-88619309</w:t>
            </w:r>
          </w:p>
        </w:tc>
        <w:tc>
          <w:tcPr>
            <w:tcW w:w="3213" w:type="dxa"/>
            <w:gridSpan w:val="2"/>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lef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0755-88619309</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pPr>
              <w:spacing w:before="40" w:after="40" w:line="240" w:lineRule="exact"/>
              <w:jc w:val="lef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电子信箱</w:t>
            </w:r>
          </w:p>
        </w:tc>
        <w:tc>
          <w:tcPr>
            <w:tcW w:w="3213" w:type="dxa"/>
            <w:gridSpan w:val="2"/>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lef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yangxinchun@cgnpc.com.cn</w:t>
            </w:r>
          </w:p>
        </w:tc>
        <w:tc>
          <w:tcPr>
            <w:tcW w:w="3213" w:type="dxa"/>
            <w:gridSpan w:val="2"/>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lef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wuweiwei@cgnpc.com.cn</w:t>
            </w:r>
          </w:p>
        </w:tc>
      </w:tr>
    </w:tbl>
    <w:p>
      <w:pPr>
        <w:keepNext/>
        <w:keepLines/>
        <w:spacing w:before="300" w:after="300" w:line="280" w:lineRule="exact"/>
        <w:jc w:val="left"/>
        <w:outlineLvl w:val="2"/>
        <w:rPr>
          <w:rFonts w:ascii="宋体" w:hAnsi="宋体" w:eastAsia="宋体" w:cs="宋体"/>
          <w:b/>
          <w:bCs/>
          <w:sz w:val="21"/>
          <w:szCs w:val="21"/>
        </w:rPr>
      </w:pPr>
      <w:bookmarkStart w:id="3" w:name="_Toc988892"/>
      <w:r>
        <w:rPr>
          <w:rFonts w:ascii="宋体" w:hAnsi="宋体" w:eastAsia="宋体" w:cs="宋体"/>
          <w:b/>
          <w:bCs/>
          <w:sz w:val="21"/>
          <w:szCs w:val="21"/>
        </w:rPr>
        <w:t>2、主要财务数据和财务指标</w:t>
      </w:r>
      <w:bookmarkEnd w:id="3"/>
    </w:p>
    <w:p>
      <w:pPr>
        <w:spacing w:before="0" w:after="0" w:line="240" w:lineRule="exact"/>
        <w:jc w:val="left"/>
        <w:rPr>
          <w:rFonts w:ascii="宋体" w:hAnsi="宋体" w:eastAsia="宋体" w:cs="宋体"/>
          <w:sz w:val="21"/>
          <w:szCs w:val="21"/>
        </w:rPr>
      </w:pPr>
      <w:r>
        <w:rPr>
          <w:rFonts w:ascii="宋体" w:hAnsi="宋体" w:eastAsia="宋体" w:cs="宋体"/>
          <w:sz w:val="21"/>
          <w:szCs w:val="21"/>
        </w:rPr>
        <w:t>公司是否需追溯调整或重述以前年度会计数据</w:t>
      </w:r>
    </w:p>
    <w:p>
      <w:pPr>
        <w:spacing w:before="40" w:after="40" w:line="240" w:lineRule="exact"/>
        <w:jc w:val="left"/>
        <w:rPr>
          <w:rFonts w:ascii="宋体" w:hAnsi="宋体" w:eastAsia="宋体" w:cs="宋体"/>
          <w:sz w:val="21"/>
          <w:szCs w:val="21"/>
        </w:rPr>
      </w:pPr>
      <w:r>
        <w:rPr>
          <w:rFonts w:ascii="宋体" w:hAnsi="宋体" w:eastAsia="宋体" w:cs="宋体"/>
          <w:sz w:val="21"/>
          <w:szCs w:val="21"/>
        </w:rPr>
        <w:t xml:space="preserve">□是 </w:t>
      </w:r>
      <w:r>
        <w:rPr>
          <w:rFonts w:ascii="宋体" w:hAnsi="宋体" w:eastAsia="宋体" w:cs="宋体"/>
          <w:sz w:val="21"/>
          <w:szCs w:val="21"/>
        </w:rPr>
        <w:sym w:font="Wingdings 2" w:char="F052"/>
      </w:r>
      <w:r>
        <w:rPr>
          <w:rFonts w:ascii="宋体" w:hAnsi="宋体" w:eastAsia="宋体" w:cs="宋体"/>
          <w:sz w:val="21"/>
          <w:szCs w:val="21"/>
        </w:rPr>
        <w:t>否</w:t>
      </w:r>
    </w:p>
    <w:tbl>
      <w:tblPr>
        <w:tblStyle w:val="3"/>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156"/>
        <w:gridCol w:w="1910"/>
        <w:gridCol w:w="1950"/>
        <w:gridCol w:w="2623"/>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156" w:type="dxa"/>
            <w:tcBorders>
              <w:top w:val="single" w:color="auto" w:sz="2" w:space="0"/>
              <w:left w:val="single" w:color="auto" w:sz="2" w:space="0"/>
              <w:bottom w:val="single" w:color="auto" w:sz="2" w:space="0"/>
              <w:right w:val="single" w:color="auto" w:sz="2" w:space="0"/>
            </w:tcBorders>
            <w:shd w:val="clear" w:color="auto" w:fill="D3D3D3"/>
            <w:vAlign w:val="center"/>
          </w:tcPr>
          <w:p>
            <w:pPr>
              <w:rPr>
                <w:sz w:val="21"/>
                <w:szCs w:val="21"/>
              </w:rPr>
            </w:pPr>
            <w:bookmarkStart w:id="4" w:name="_Toc988893"/>
          </w:p>
        </w:tc>
        <w:tc>
          <w:tcPr>
            <w:tcW w:w="1910" w:type="dxa"/>
            <w:tcBorders>
              <w:top w:val="single" w:color="auto" w:sz="2" w:space="0"/>
              <w:left w:val="single" w:color="auto" w:sz="2" w:space="0"/>
              <w:bottom w:val="single" w:color="auto" w:sz="2" w:space="0"/>
              <w:right w:val="single" w:color="auto" w:sz="2" w:space="0"/>
            </w:tcBorders>
            <w:shd w:val="clear" w:color="auto" w:fill="D3D3D3"/>
            <w:vAlign w:val="center"/>
          </w:tcPr>
          <w:p>
            <w:pPr>
              <w:spacing w:before="40" w:after="40" w:line="240" w:lineRule="exact"/>
              <w:jc w:val="center"/>
              <w:rPr>
                <w:rFonts w:ascii="宋体" w:hAnsi="宋体" w:cs="宋体"/>
                <w:sz w:val="21"/>
                <w:szCs w:val="21"/>
              </w:rPr>
            </w:pPr>
            <w:r>
              <w:rPr>
                <w:rFonts w:ascii="宋体" w:hAnsi="宋体" w:cs="宋体"/>
                <w:sz w:val="21"/>
                <w:szCs w:val="21"/>
              </w:rPr>
              <w:t>本报告期</w:t>
            </w:r>
          </w:p>
        </w:tc>
        <w:tc>
          <w:tcPr>
            <w:tcW w:w="1950" w:type="dxa"/>
            <w:tcBorders>
              <w:top w:val="single" w:color="auto" w:sz="2" w:space="0"/>
              <w:left w:val="single" w:color="auto" w:sz="2" w:space="0"/>
              <w:bottom w:val="single" w:color="auto" w:sz="2" w:space="0"/>
              <w:right w:val="single" w:color="auto" w:sz="2" w:space="0"/>
            </w:tcBorders>
            <w:shd w:val="clear" w:color="auto" w:fill="D3D3D3"/>
            <w:vAlign w:val="center"/>
          </w:tcPr>
          <w:p>
            <w:pPr>
              <w:spacing w:before="40" w:after="40" w:line="240" w:lineRule="exact"/>
              <w:jc w:val="center"/>
              <w:rPr>
                <w:rFonts w:ascii="宋体" w:hAnsi="宋体" w:cs="宋体"/>
                <w:sz w:val="21"/>
                <w:szCs w:val="21"/>
              </w:rPr>
            </w:pPr>
            <w:r>
              <w:rPr>
                <w:rFonts w:ascii="宋体" w:hAnsi="宋体" w:cs="宋体"/>
                <w:sz w:val="21"/>
                <w:szCs w:val="21"/>
              </w:rPr>
              <w:t>上年同期</w:t>
            </w:r>
          </w:p>
        </w:tc>
        <w:tc>
          <w:tcPr>
            <w:tcW w:w="2623" w:type="dxa"/>
            <w:tcBorders>
              <w:top w:val="single" w:color="auto" w:sz="2" w:space="0"/>
              <w:left w:val="single" w:color="auto" w:sz="2" w:space="0"/>
              <w:bottom w:val="single" w:color="auto" w:sz="2" w:space="0"/>
              <w:right w:val="single" w:color="auto" w:sz="2" w:space="0"/>
            </w:tcBorders>
            <w:shd w:val="clear" w:color="auto" w:fill="D3D3D3"/>
            <w:vAlign w:val="center"/>
          </w:tcPr>
          <w:p>
            <w:pPr>
              <w:spacing w:before="40" w:after="40" w:line="240" w:lineRule="exact"/>
              <w:jc w:val="center"/>
              <w:rPr>
                <w:rFonts w:ascii="宋体" w:hAnsi="宋体" w:cs="宋体"/>
                <w:sz w:val="21"/>
                <w:szCs w:val="21"/>
              </w:rPr>
            </w:pPr>
            <w:r>
              <w:rPr>
                <w:rFonts w:ascii="宋体" w:hAnsi="宋体" w:cs="宋体"/>
                <w:sz w:val="21"/>
                <w:szCs w:val="21"/>
              </w:rPr>
              <w:t>本报告期比上年同期增减</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156" w:type="dxa"/>
            <w:tcBorders>
              <w:top w:val="single" w:color="auto" w:sz="2" w:space="0"/>
              <w:left w:val="single" w:color="auto" w:sz="2" w:space="0"/>
              <w:bottom w:val="single" w:color="auto" w:sz="2" w:space="0"/>
              <w:right w:val="single" w:color="auto" w:sz="2" w:space="0"/>
            </w:tcBorders>
            <w:shd w:val="clear" w:color="auto" w:fill="D3D3D3"/>
            <w:vAlign w:val="center"/>
          </w:tcPr>
          <w:p>
            <w:pPr>
              <w:spacing w:before="40" w:after="40" w:line="240" w:lineRule="exact"/>
              <w:jc w:val="left"/>
              <w:rPr>
                <w:rFonts w:ascii="宋体" w:hAnsi="宋体" w:cs="宋体"/>
                <w:sz w:val="21"/>
                <w:szCs w:val="21"/>
              </w:rPr>
            </w:pPr>
            <w:r>
              <w:rPr>
                <w:rFonts w:ascii="宋体" w:hAnsi="宋体" w:cs="宋体"/>
                <w:sz w:val="21"/>
                <w:szCs w:val="21"/>
              </w:rPr>
              <w:t>营业收入（元）</w:t>
            </w:r>
          </w:p>
        </w:tc>
        <w:tc>
          <w:tcPr>
            <w:tcW w:w="1910" w:type="dxa"/>
            <w:tcBorders>
              <w:top w:val="single" w:color="auto" w:sz="2" w:space="0"/>
              <w:left w:val="single" w:color="auto" w:sz="2" w:space="0"/>
              <w:bottom w:val="single" w:color="auto" w:sz="2" w:space="0"/>
              <w:right w:val="single" w:color="auto" w:sz="2" w:space="0"/>
            </w:tcBorders>
            <w:vAlign w:val="center"/>
          </w:tcPr>
          <w:p>
            <w:pPr>
              <w:spacing w:line="240" w:lineRule="exact"/>
              <w:jc w:val="right"/>
              <w:rPr>
                <w:rFonts w:ascii="宋体" w:hAnsi="宋体" w:cs="宋体"/>
                <w:sz w:val="21"/>
                <w:szCs w:val="21"/>
              </w:rPr>
            </w:pPr>
            <w:r>
              <w:rPr>
                <w:sz w:val="21"/>
                <w:szCs w:val="21"/>
              </w:rPr>
              <w:t>2,863,683,121.86</w:t>
            </w:r>
          </w:p>
        </w:tc>
        <w:tc>
          <w:tcPr>
            <w:tcW w:w="1950" w:type="dxa"/>
            <w:tcBorders>
              <w:top w:val="single" w:color="auto" w:sz="2" w:space="0"/>
              <w:left w:val="single" w:color="auto" w:sz="2" w:space="0"/>
              <w:bottom w:val="single" w:color="auto" w:sz="2" w:space="0"/>
              <w:right w:val="single" w:color="auto" w:sz="2" w:space="0"/>
            </w:tcBorders>
            <w:vAlign w:val="center"/>
          </w:tcPr>
          <w:p>
            <w:pPr>
              <w:spacing w:line="240" w:lineRule="exact"/>
              <w:jc w:val="right"/>
              <w:rPr>
                <w:rFonts w:ascii="宋体" w:hAnsi="宋体" w:cs="宋体"/>
                <w:sz w:val="21"/>
                <w:szCs w:val="21"/>
              </w:rPr>
            </w:pPr>
            <w:r>
              <w:rPr>
                <w:sz w:val="21"/>
                <w:szCs w:val="21"/>
              </w:rPr>
              <w:t>4,314,818,290.49</w:t>
            </w:r>
          </w:p>
        </w:tc>
        <w:tc>
          <w:tcPr>
            <w:tcW w:w="2623" w:type="dxa"/>
            <w:tcBorders>
              <w:top w:val="single" w:color="auto" w:sz="2" w:space="0"/>
              <w:left w:val="single" w:color="auto" w:sz="2" w:space="0"/>
              <w:bottom w:val="single" w:color="auto" w:sz="2" w:space="0"/>
              <w:right w:val="single" w:color="auto" w:sz="2" w:space="0"/>
            </w:tcBorders>
            <w:vAlign w:val="center"/>
          </w:tcPr>
          <w:p>
            <w:pPr>
              <w:spacing w:line="240" w:lineRule="exact"/>
              <w:jc w:val="right"/>
              <w:rPr>
                <w:rFonts w:ascii="宋体" w:hAnsi="宋体" w:cs="宋体"/>
                <w:sz w:val="21"/>
                <w:szCs w:val="21"/>
              </w:rPr>
            </w:pPr>
            <w:r>
              <w:rPr>
                <w:sz w:val="21"/>
                <w:szCs w:val="21"/>
              </w:rPr>
              <w:t>-33.63%</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156" w:type="dxa"/>
            <w:tcBorders>
              <w:top w:val="single" w:color="auto" w:sz="2" w:space="0"/>
              <w:left w:val="single" w:color="auto" w:sz="2" w:space="0"/>
              <w:bottom w:val="single" w:color="auto" w:sz="2" w:space="0"/>
              <w:right w:val="single" w:color="auto" w:sz="2" w:space="0"/>
            </w:tcBorders>
            <w:shd w:val="clear" w:color="auto" w:fill="D3D3D3"/>
            <w:vAlign w:val="center"/>
          </w:tcPr>
          <w:p>
            <w:pPr>
              <w:spacing w:before="40" w:after="40" w:line="240" w:lineRule="exact"/>
              <w:jc w:val="left"/>
              <w:rPr>
                <w:rFonts w:ascii="宋体" w:hAnsi="宋体" w:cs="宋体"/>
                <w:sz w:val="21"/>
                <w:szCs w:val="21"/>
              </w:rPr>
            </w:pPr>
            <w:r>
              <w:rPr>
                <w:rFonts w:ascii="宋体" w:hAnsi="宋体" w:cs="宋体"/>
                <w:sz w:val="21"/>
                <w:szCs w:val="21"/>
              </w:rPr>
              <w:t>归属于上市公司股东的净利润（元）</w:t>
            </w:r>
          </w:p>
        </w:tc>
        <w:tc>
          <w:tcPr>
            <w:tcW w:w="1910" w:type="dxa"/>
            <w:tcBorders>
              <w:top w:val="single" w:color="auto" w:sz="2" w:space="0"/>
              <w:left w:val="single" w:color="auto" w:sz="2" w:space="0"/>
              <w:bottom w:val="single" w:color="auto" w:sz="2" w:space="0"/>
              <w:right w:val="single" w:color="auto" w:sz="2" w:space="0"/>
            </w:tcBorders>
            <w:vAlign w:val="center"/>
          </w:tcPr>
          <w:p>
            <w:pPr>
              <w:spacing w:line="240" w:lineRule="exact"/>
              <w:jc w:val="right"/>
              <w:rPr>
                <w:rFonts w:ascii="宋体" w:hAnsi="宋体" w:cs="宋体"/>
                <w:sz w:val="21"/>
                <w:szCs w:val="21"/>
              </w:rPr>
            </w:pPr>
            <w:r>
              <w:rPr>
                <w:sz w:val="21"/>
                <w:szCs w:val="21"/>
              </w:rPr>
              <w:t xml:space="preserve">-104,676,970.24 </w:t>
            </w:r>
          </w:p>
        </w:tc>
        <w:tc>
          <w:tcPr>
            <w:tcW w:w="1950" w:type="dxa"/>
            <w:tcBorders>
              <w:top w:val="single" w:color="auto" w:sz="2" w:space="0"/>
              <w:left w:val="single" w:color="auto" w:sz="2" w:space="0"/>
              <w:bottom w:val="single" w:color="auto" w:sz="2" w:space="0"/>
              <w:right w:val="single" w:color="auto" w:sz="2" w:space="0"/>
            </w:tcBorders>
            <w:vAlign w:val="center"/>
          </w:tcPr>
          <w:p>
            <w:pPr>
              <w:spacing w:line="240" w:lineRule="exact"/>
              <w:jc w:val="right"/>
              <w:rPr>
                <w:rFonts w:ascii="宋体" w:hAnsi="宋体" w:cs="宋体"/>
                <w:sz w:val="21"/>
                <w:szCs w:val="21"/>
              </w:rPr>
            </w:pPr>
            <w:r>
              <w:rPr>
                <w:sz w:val="21"/>
                <w:szCs w:val="21"/>
              </w:rPr>
              <w:t>123,828,800.99</w:t>
            </w:r>
          </w:p>
        </w:tc>
        <w:tc>
          <w:tcPr>
            <w:tcW w:w="2623" w:type="dxa"/>
            <w:tcBorders>
              <w:top w:val="single" w:color="auto" w:sz="2" w:space="0"/>
              <w:left w:val="single" w:color="auto" w:sz="2" w:space="0"/>
              <w:bottom w:val="single" w:color="auto" w:sz="2" w:space="0"/>
              <w:right w:val="single" w:color="auto" w:sz="2" w:space="0"/>
            </w:tcBorders>
            <w:vAlign w:val="center"/>
          </w:tcPr>
          <w:p>
            <w:pPr>
              <w:spacing w:line="240" w:lineRule="exact"/>
              <w:jc w:val="right"/>
              <w:rPr>
                <w:rFonts w:ascii="宋体" w:hAnsi="宋体" w:cs="宋体"/>
                <w:sz w:val="21"/>
                <w:szCs w:val="21"/>
              </w:rPr>
            </w:pPr>
            <w:r>
              <w:rPr>
                <w:sz w:val="21"/>
                <w:szCs w:val="21"/>
              </w:rPr>
              <w:t>-184.53%</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156" w:type="dxa"/>
            <w:tcBorders>
              <w:top w:val="single" w:color="auto" w:sz="2" w:space="0"/>
              <w:left w:val="single" w:color="auto" w:sz="2" w:space="0"/>
              <w:bottom w:val="single" w:color="auto" w:sz="2" w:space="0"/>
              <w:right w:val="single" w:color="auto" w:sz="2" w:space="0"/>
            </w:tcBorders>
            <w:shd w:val="clear" w:color="auto" w:fill="D3D3D3"/>
            <w:vAlign w:val="center"/>
          </w:tcPr>
          <w:p>
            <w:pPr>
              <w:spacing w:before="40" w:after="40" w:line="240" w:lineRule="exact"/>
              <w:jc w:val="left"/>
              <w:rPr>
                <w:rFonts w:ascii="宋体" w:hAnsi="宋体" w:cs="宋体"/>
                <w:sz w:val="21"/>
                <w:szCs w:val="21"/>
              </w:rPr>
            </w:pPr>
            <w:r>
              <w:rPr>
                <w:rFonts w:ascii="宋体" w:hAnsi="宋体" w:cs="宋体"/>
                <w:sz w:val="21"/>
                <w:szCs w:val="21"/>
              </w:rPr>
              <w:t>归属于上市公司股东的扣除非经常性损益的净利润（元）</w:t>
            </w:r>
          </w:p>
        </w:tc>
        <w:tc>
          <w:tcPr>
            <w:tcW w:w="1910" w:type="dxa"/>
            <w:tcBorders>
              <w:top w:val="single" w:color="auto" w:sz="2" w:space="0"/>
              <w:left w:val="single" w:color="auto" w:sz="2" w:space="0"/>
              <w:bottom w:val="single" w:color="auto" w:sz="2" w:space="0"/>
              <w:right w:val="single" w:color="auto" w:sz="2" w:space="0"/>
            </w:tcBorders>
            <w:vAlign w:val="center"/>
          </w:tcPr>
          <w:p>
            <w:pPr>
              <w:spacing w:line="240" w:lineRule="exact"/>
              <w:jc w:val="right"/>
              <w:rPr>
                <w:rFonts w:ascii="宋体" w:hAnsi="宋体" w:cs="宋体"/>
                <w:sz w:val="21"/>
                <w:szCs w:val="21"/>
              </w:rPr>
            </w:pPr>
            <w:r>
              <w:rPr>
                <w:sz w:val="21"/>
                <w:szCs w:val="21"/>
              </w:rPr>
              <w:t xml:space="preserve">-147,042,417.97 </w:t>
            </w:r>
          </w:p>
        </w:tc>
        <w:tc>
          <w:tcPr>
            <w:tcW w:w="1950" w:type="dxa"/>
            <w:tcBorders>
              <w:top w:val="single" w:color="auto" w:sz="2" w:space="0"/>
              <w:left w:val="single" w:color="auto" w:sz="2" w:space="0"/>
              <w:bottom w:val="single" w:color="auto" w:sz="2" w:space="0"/>
              <w:right w:val="single" w:color="auto" w:sz="2" w:space="0"/>
            </w:tcBorders>
            <w:vAlign w:val="center"/>
          </w:tcPr>
          <w:p>
            <w:pPr>
              <w:spacing w:line="240" w:lineRule="exact"/>
              <w:jc w:val="right"/>
              <w:rPr>
                <w:rFonts w:ascii="宋体" w:hAnsi="宋体" w:cs="宋体"/>
                <w:sz w:val="21"/>
                <w:szCs w:val="21"/>
              </w:rPr>
            </w:pPr>
            <w:r>
              <w:rPr>
                <w:sz w:val="21"/>
                <w:szCs w:val="21"/>
              </w:rPr>
              <w:t>-2,138,197.81</w:t>
            </w:r>
          </w:p>
        </w:tc>
        <w:tc>
          <w:tcPr>
            <w:tcW w:w="2623" w:type="dxa"/>
            <w:tcBorders>
              <w:top w:val="single" w:color="auto" w:sz="2" w:space="0"/>
              <w:left w:val="single" w:color="auto" w:sz="2" w:space="0"/>
              <w:bottom w:val="single" w:color="auto" w:sz="2" w:space="0"/>
              <w:right w:val="single" w:color="auto" w:sz="2" w:space="0"/>
            </w:tcBorders>
            <w:vAlign w:val="center"/>
          </w:tcPr>
          <w:p>
            <w:pPr>
              <w:spacing w:line="240" w:lineRule="exact"/>
              <w:jc w:val="right"/>
              <w:rPr>
                <w:rFonts w:ascii="宋体" w:hAnsi="宋体" w:cs="宋体"/>
                <w:sz w:val="21"/>
                <w:szCs w:val="21"/>
              </w:rPr>
            </w:pPr>
            <w:r>
              <w:rPr>
                <w:sz w:val="21"/>
                <w:szCs w:val="21"/>
              </w:rPr>
              <w:t>-6776.93%</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156" w:type="dxa"/>
            <w:tcBorders>
              <w:top w:val="single" w:color="auto" w:sz="2" w:space="0"/>
              <w:left w:val="single" w:color="auto" w:sz="2" w:space="0"/>
              <w:bottom w:val="single" w:color="auto" w:sz="2" w:space="0"/>
              <w:right w:val="single" w:color="auto" w:sz="2" w:space="0"/>
            </w:tcBorders>
            <w:shd w:val="clear" w:color="auto" w:fill="D3D3D3"/>
            <w:vAlign w:val="center"/>
          </w:tcPr>
          <w:p>
            <w:pPr>
              <w:spacing w:before="40" w:after="40" w:line="240" w:lineRule="exact"/>
              <w:jc w:val="left"/>
              <w:rPr>
                <w:rFonts w:ascii="宋体" w:hAnsi="宋体" w:cs="宋体"/>
                <w:sz w:val="21"/>
                <w:szCs w:val="21"/>
              </w:rPr>
            </w:pPr>
            <w:r>
              <w:rPr>
                <w:rFonts w:ascii="宋体" w:hAnsi="宋体" w:cs="宋体"/>
                <w:sz w:val="21"/>
                <w:szCs w:val="21"/>
              </w:rPr>
              <w:t>经营活动产生的现金流量净额（元）</w:t>
            </w:r>
          </w:p>
        </w:tc>
        <w:tc>
          <w:tcPr>
            <w:tcW w:w="1910" w:type="dxa"/>
            <w:tcBorders>
              <w:top w:val="single" w:color="auto" w:sz="2" w:space="0"/>
              <w:left w:val="single" w:color="auto" w:sz="2" w:space="0"/>
              <w:bottom w:val="single" w:color="auto" w:sz="2" w:space="0"/>
              <w:right w:val="single" w:color="auto" w:sz="2" w:space="0"/>
            </w:tcBorders>
            <w:vAlign w:val="center"/>
          </w:tcPr>
          <w:p>
            <w:pPr>
              <w:spacing w:line="240" w:lineRule="exact"/>
              <w:jc w:val="right"/>
              <w:rPr>
                <w:rFonts w:ascii="宋体" w:hAnsi="宋体" w:cs="宋体"/>
                <w:sz w:val="21"/>
                <w:szCs w:val="21"/>
              </w:rPr>
            </w:pPr>
            <w:r>
              <w:rPr>
                <w:sz w:val="21"/>
                <w:szCs w:val="21"/>
              </w:rPr>
              <w:t>221,643,677.25</w:t>
            </w:r>
          </w:p>
        </w:tc>
        <w:tc>
          <w:tcPr>
            <w:tcW w:w="1950" w:type="dxa"/>
            <w:tcBorders>
              <w:top w:val="single" w:color="auto" w:sz="2" w:space="0"/>
              <w:left w:val="single" w:color="auto" w:sz="2" w:space="0"/>
              <w:bottom w:val="single" w:color="auto" w:sz="2" w:space="0"/>
              <w:right w:val="single" w:color="auto" w:sz="2" w:space="0"/>
            </w:tcBorders>
            <w:vAlign w:val="center"/>
          </w:tcPr>
          <w:p>
            <w:pPr>
              <w:spacing w:line="240" w:lineRule="exact"/>
              <w:jc w:val="right"/>
              <w:rPr>
                <w:rFonts w:ascii="宋体" w:hAnsi="宋体" w:cs="宋体"/>
                <w:sz w:val="21"/>
                <w:szCs w:val="21"/>
              </w:rPr>
            </w:pPr>
            <w:r>
              <w:rPr>
                <w:sz w:val="21"/>
                <w:szCs w:val="21"/>
              </w:rPr>
              <w:t>102,939,944.83</w:t>
            </w:r>
          </w:p>
        </w:tc>
        <w:tc>
          <w:tcPr>
            <w:tcW w:w="2623" w:type="dxa"/>
            <w:tcBorders>
              <w:top w:val="single" w:color="auto" w:sz="2" w:space="0"/>
              <w:left w:val="single" w:color="auto" w:sz="2" w:space="0"/>
              <w:bottom w:val="single" w:color="auto" w:sz="2" w:space="0"/>
              <w:right w:val="single" w:color="auto" w:sz="2" w:space="0"/>
            </w:tcBorders>
            <w:vAlign w:val="center"/>
          </w:tcPr>
          <w:p>
            <w:pPr>
              <w:spacing w:line="240" w:lineRule="exact"/>
              <w:jc w:val="right"/>
              <w:rPr>
                <w:rFonts w:ascii="宋体" w:hAnsi="宋体" w:cs="宋体"/>
                <w:sz w:val="21"/>
                <w:szCs w:val="21"/>
              </w:rPr>
            </w:pPr>
            <w:r>
              <w:rPr>
                <w:sz w:val="21"/>
                <w:szCs w:val="21"/>
              </w:rPr>
              <w:t>115.31%</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156" w:type="dxa"/>
            <w:tcBorders>
              <w:top w:val="single" w:color="auto" w:sz="2" w:space="0"/>
              <w:left w:val="single" w:color="auto" w:sz="2" w:space="0"/>
              <w:bottom w:val="single" w:color="auto" w:sz="2" w:space="0"/>
              <w:right w:val="single" w:color="auto" w:sz="2" w:space="0"/>
            </w:tcBorders>
            <w:shd w:val="clear" w:color="auto" w:fill="D3D3D3"/>
            <w:vAlign w:val="center"/>
          </w:tcPr>
          <w:p>
            <w:pPr>
              <w:spacing w:before="40" w:after="40" w:line="240" w:lineRule="exact"/>
              <w:jc w:val="left"/>
              <w:rPr>
                <w:rFonts w:ascii="宋体" w:hAnsi="宋体" w:cs="宋体"/>
                <w:sz w:val="21"/>
                <w:szCs w:val="21"/>
              </w:rPr>
            </w:pPr>
            <w:r>
              <w:rPr>
                <w:rFonts w:ascii="宋体" w:hAnsi="宋体" w:cs="宋体"/>
                <w:sz w:val="21"/>
                <w:szCs w:val="21"/>
              </w:rPr>
              <w:t>基本每股收益（元/股）</w:t>
            </w:r>
          </w:p>
        </w:tc>
        <w:tc>
          <w:tcPr>
            <w:tcW w:w="1910" w:type="dxa"/>
            <w:tcBorders>
              <w:top w:val="single" w:color="auto" w:sz="2" w:space="0"/>
              <w:left w:val="single" w:color="auto" w:sz="2" w:space="0"/>
              <w:bottom w:val="single" w:color="auto" w:sz="2" w:space="0"/>
              <w:right w:val="single" w:color="auto" w:sz="2" w:space="0"/>
            </w:tcBorders>
            <w:vAlign w:val="center"/>
          </w:tcPr>
          <w:p>
            <w:pPr>
              <w:spacing w:line="240" w:lineRule="exact"/>
              <w:jc w:val="right"/>
              <w:rPr>
                <w:rFonts w:ascii="宋体" w:hAnsi="宋体" w:cs="宋体"/>
                <w:sz w:val="21"/>
                <w:szCs w:val="21"/>
              </w:rPr>
            </w:pPr>
            <w:r>
              <w:rPr>
                <w:sz w:val="21"/>
                <w:szCs w:val="21"/>
              </w:rPr>
              <w:t xml:space="preserve">-0.1107 </w:t>
            </w:r>
          </w:p>
        </w:tc>
        <w:tc>
          <w:tcPr>
            <w:tcW w:w="1950" w:type="dxa"/>
            <w:tcBorders>
              <w:top w:val="single" w:color="auto" w:sz="2" w:space="0"/>
              <w:left w:val="single" w:color="auto" w:sz="2" w:space="0"/>
              <w:bottom w:val="single" w:color="auto" w:sz="2" w:space="0"/>
              <w:right w:val="single" w:color="auto" w:sz="2" w:space="0"/>
            </w:tcBorders>
            <w:vAlign w:val="center"/>
          </w:tcPr>
          <w:p>
            <w:pPr>
              <w:spacing w:line="240" w:lineRule="exact"/>
              <w:jc w:val="right"/>
              <w:rPr>
                <w:rFonts w:ascii="宋体" w:hAnsi="宋体" w:cs="宋体"/>
                <w:sz w:val="21"/>
                <w:szCs w:val="21"/>
              </w:rPr>
            </w:pPr>
            <w:r>
              <w:rPr>
                <w:sz w:val="21"/>
                <w:szCs w:val="21"/>
              </w:rPr>
              <w:t>0.1310</w:t>
            </w:r>
          </w:p>
        </w:tc>
        <w:tc>
          <w:tcPr>
            <w:tcW w:w="2623" w:type="dxa"/>
            <w:tcBorders>
              <w:top w:val="single" w:color="auto" w:sz="2" w:space="0"/>
              <w:left w:val="single" w:color="auto" w:sz="2" w:space="0"/>
              <w:bottom w:val="single" w:color="auto" w:sz="2" w:space="0"/>
              <w:right w:val="single" w:color="auto" w:sz="2" w:space="0"/>
            </w:tcBorders>
            <w:vAlign w:val="center"/>
          </w:tcPr>
          <w:p>
            <w:pPr>
              <w:spacing w:line="240" w:lineRule="exact"/>
              <w:jc w:val="right"/>
              <w:rPr>
                <w:rFonts w:ascii="宋体" w:hAnsi="宋体" w:cs="宋体"/>
                <w:sz w:val="21"/>
                <w:szCs w:val="21"/>
              </w:rPr>
            </w:pPr>
            <w:r>
              <w:rPr>
                <w:sz w:val="21"/>
                <w:szCs w:val="21"/>
              </w:rPr>
              <w:t>-184.50%</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156" w:type="dxa"/>
            <w:tcBorders>
              <w:top w:val="single" w:color="auto" w:sz="2" w:space="0"/>
              <w:left w:val="single" w:color="auto" w:sz="2" w:space="0"/>
              <w:bottom w:val="single" w:color="auto" w:sz="2" w:space="0"/>
              <w:right w:val="single" w:color="auto" w:sz="2" w:space="0"/>
            </w:tcBorders>
            <w:shd w:val="clear" w:color="auto" w:fill="D3D3D3"/>
            <w:vAlign w:val="center"/>
          </w:tcPr>
          <w:p>
            <w:pPr>
              <w:spacing w:before="40" w:after="40" w:line="240" w:lineRule="exact"/>
              <w:jc w:val="left"/>
              <w:rPr>
                <w:rFonts w:ascii="宋体" w:hAnsi="宋体" w:cs="宋体"/>
                <w:sz w:val="21"/>
                <w:szCs w:val="21"/>
              </w:rPr>
            </w:pPr>
            <w:r>
              <w:rPr>
                <w:rFonts w:ascii="宋体" w:hAnsi="宋体" w:cs="宋体"/>
                <w:sz w:val="21"/>
                <w:szCs w:val="21"/>
              </w:rPr>
              <w:t>稀释每股收益（元/股）</w:t>
            </w:r>
          </w:p>
        </w:tc>
        <w:tc>
          <w:tcPr>
            <w:tcW w:w="1910" w:type="dxa"/>
            <w:tcBorders>
              <w:top w:val="single" w:color="auto" w:sz="2" w:space="0"/>
              <w:left w:val="single" w:color="auto" w:sz="2" w:space="0"/>
              <w:bottom w:val="single" w:color="auto" w:sz="2" w:space="0"/>
              <w:right w:val="single" w:color="auto" w:sz="2" w:space="0"/>
            </w:tcBorders>
            <w:vAlign w:val="center"/>
          </w:tcPr>
          <w:p>
            <w:pPr>
              <w:spacing w:line="240" w:lineRule="exact"/>
              <w:jc w:val="right"/>
              <w:rPr>
                <w:rFonts w:ascii="宋体" w:hAnsi="宋体" w:cs="宋体"/>
                <w:sz w:val="21"/>
                <w:szCs w:val="21"/>
              </w:rPr>
            </w:pPr>
            <w:r>
              <w:rPr>
                <w:sz w:val="21"/>
                <w:szCs w:val="21"/>
              </w:rPr>
              <w:t xml:space="preserve">-0.1107 </w:t>
            </w:r>
          </w:p>
        </w:tc>
        <w:tc>
          <w:tcPr>
            <w:tcW w:w="1950" w:type="dxa"/>
            <w:tcBorders>
              <w:top w:val="single" w:color="auto" w:sz="2" w:space="0"/>
              <w:left w:val="single" w:color="auto" w:sz="2" w:space="0"/>
              <w:bottom w:val="single" w:color="auto" w:sz="2" w:space="0"/>
              <w:right w:val="single" w:color="auto" w:sz="2" w:space="0"/>
            </w:tcBorders>
            <w:vAlign w:val="center"/>
          </w:tcPr>
          <w:p>
            <w:pPr>
              <w:spacing w:line="240" w:lineRule="exact"/>
              <w:jc w:val="right"/>
              <w:rPr>
                <w:rFonts w:ascii="宋体" w:hAnsi="宋体" w:cs="宋体"/>
                <w:sz w:val="21"/>
                <w:szCs w:val="21"/>
              </w:rPr>
            </w:pPr>
            <w:r>
              <w:rPr>
                <w:sz w:val="21"/>
                <w:szCs w:val="21"/>
              </w:rPr>
              <w:t>0.1310</w:t>
            </w:r>
          </w:p>
        </w:tc>
        <w:tc>
          <w:tcPr>
            <w:tcW w:w="2623" w:type="dxa"/>
            <w:tcBorders>
              <w:top w:val="single" w:color="auto" w:sz="2" w:space="0"/>
              <w:left w:val="single" w:color="auto" w:sz="2" w:space="0"/>
              <w:bottom w:val="single" w:color="auto" w:sz="2" w:space="0"/>
              <w:right w:val="single" w:color="auto" w:sz="2" w:space="0"/>
            </w:tcBorders>
            <w:vAlign w:val="center"/>
          </w:tcPr>
          <w:p>
            <w:pPr>
              <w:spacing w:line="240" w:lineRule="exact"/>
              <w:jc w:val="right"/>
              <w:rPr>
                <w:rFonts w:ascii="宋体" w:hAnsi="宋体" w:cs="宋体"/>
                <w:sz w:val="21"/>
                <w:szCs w:val="21"/>
              </w:rPr>
            </w:pPr>
            <w:r>
              <w:rPr>
                <w:sz w:val="21"/>
                <w:szCs w:val="21"/>
              </w:rPr>
              <w:t>-184.50%</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156" w:type="dxa"/>
            <w:tcBorders>
              <w:top w:val="single" w:color="auto" w:sz="2" w:space="0"/>
              <w:left w:val="single" w:color="auto" w:sz="2" w:space="0"/>
              <w:bottom w:val="single" w:color="auto" w:sz="2" w:space="0"/>
              <w:right w:val="single" w:color="auto" w:sz="2" w:space="0"/>
            </w:tcBorders>
            <w:shd w:val="clear" w:color="auto" w:fill="D3D3D3"/>
            <w:vAlign w:val="center"/>
          </w:tcPr>
          <w:p>
            <w:pPr>
              <w:spacing w:before="40" w:after="40" w:line="240" w:lineRule="exact"/>
              <w:jc w:val="left"/>
              <w:rPr>
                <w:rFonts w:ascii="宋体" w:hAnsi="宋体" w:cs="宋体"/>
                <w:sz w:val="21"/>
                <w:szCs w:val="21"/>
              </w:rPr>
            </w:pPr>
            <w:r>
              <w:rPr>
                <w:rFonts w:ascii="宋体" w:hAnsi="宋体" w:cs="宋体"/>
                <w:sz w:val="21"/>
                <w:szCs w:val="21"/>
              </w:rPr>
              <w:t>加权平均净资产收益率</w:t>
            </w:r>
          </w:p>
        </w:tc>
        <w:tc>
          <w:tcPr>
            <w:tcW w:w="1910" w:type="dxa"/>
            <w:tcBorders>
              <w:top w:val="single" w:color="auto" w:sz="2" w:space="0"/>
              <w:left w:val="single" w:color="auto" w:sz="2" w:space="0"/>
              <w:bottom w:val="single" w:color="auto" w:sz="2" w:space="0"/>
              <w:right w:val="single" w:color="auto" w:sz="2" w:space="0"/>
            </w:tcBorders>
            <w:vAlign w:val="center"/>
          </w:tcPr>
          <w:p>
            <w:pPr>
              <w:spacing w:line="240" w:lineRule="exact"/>
              <w:jc w:val="right"/>
              <w:rPr>
                <w:rFonts w:ascii="宋体" w:hAnsi="宋体" w:cs="宋体"/>
                <w:sz w:val="21"/>
                <w:szCs w:val="21"/>
              </w:rPr>
            </w:pPr>
            <w:r>
              <w:rPr>
                <w:sz w:val="21"/>
                <w:szCs w:val="21"/>
              </w:rPr>
              <w:t>-1.67%</w:t>
            </w:r>
          </w:p>
        </w:tc>
        <w:tc>
          <w:tcPr>
            <w:tcW w:w="1950" w:type="dxa"/>
            <w:tcBorders>
              <w:top w:val="single" w:color="auto" w:sz="2" w:space="0"/>
              <w:left w:val="single" w:color="auto" w:sz="2" w:space="0"/>
              <w:bottom w:val="single" w:color="auto" w:sz="2" w:space="0"/>
              <w:right w:val="single" w:color="auto" w:sz="2" w:space="0"/>
            </w:tcBorders>
            <w:vAlign w:val="center"/>
          </w:tcPr>
          <w:p>
            <w:pPr>
              <w:spacing w:line="240" w:lineRule="exact"/>
              <w:jc w:val="right"/>
              <w:rPr>
                <w:rFonts w:ascii="宋体" w:hAnsi="宋体" w:cs="宋体"/>
                <w:sz w:val="21"/>
                <w:szCs w:val="21"/>
              </w:rPr>
            </w:pPr>
            <w:r>
              <w:rPr>
                <w:sz w:val="21"/>
                <w:szCs w:val="21"/>
              </w:rPr>
              <w:t>2.00%</w:t>
            </w:r>
          </w:p>
        </w:tc>
        <w:tc>
          <w:tcPr>
            <w:tcW w:w="2623" w:type="dxa"/>
            <w:tcBorders>
              <w:top w:val="single" w:color="auto" w:sz="2" w:space="0"/>
              <w:left w:val="single" w:color="auto" w:sz="2" w:space="0"/>
              <w:bottom w:val="single" w:color="auto" w:sz="2" w:space="0"/>
              <w:right w:val="single" w:color="auto" w:sz="2" w:space="0"/>
            </w:tcBorders>
            <w:vAlign w:val="center"/>
          </w:tcPr>
          <w:p>
            <w:pPr>
              <w:spacing w:line="240" w:lineRule="exact"/>
              <w:jc w:val="right"/>
              <w:rPr>
                <w:rFonts w:ascii="宋体" w:hAnsi="宋体" w:cs="宋体"/>
                <w:sz w:val="21"/>
                <w:szCs w:val="21"/>
              </w:rPr>
            </w:pPr>
            <w:r>
              <w:rPr>
                <w:rFonts w:hint="eastAsia"/>
                <w:sz w:val="21"/>
                <w:szCs w:val="21"/>
              </w:rPr>
              <w:t>减少3.6</w:t>
            </w:r>
            <w:r>
              <w:rPr>
                <w:sz w:val="21"/>
                <w:szCs w:val="21"/>
              </w:rPr>
              <w:t>7</w:t>
            </w:r>
            <w:r>
              <w:rPr>
                <w:rFonts w:hint="eastAsia"/>
                <w:sz w:val="21"/>
                <w:szCs w:val="21"/>
              </w:rPr>
              <w:t>个百分点</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156" w:type="dxa"/>
            <w:tcBorders>
              <w:top w:val="single" w:color="auto" w:sz="2" w:space="0"/>
              <w:left w:val="single" w:color="auto" w:sz="2" w:space="0"/>
              <w:bottom w:val="single" w:color="auto" w:sz="2" w:space="0"/>
              <w:right w:val="single" w:color="auto" w:sz="2" w:space="0"/>
            </w:tcBorders>
            <w:vAlign w:val="center"/>
          </w:tcPr>
          <w:p>
            <w:pPr>
              <w:spacing w:line="240" w:lineRule="exact"/>
              <w:jc w:val="left"/>
              <w:rPr>
                <w:rFonts w:ascii="宋体" w:hAnsi="宋体" w:cs="宋体"/>
                <w:sz w:val="21"/>
                <w:szCs w:val="21"/>
              </w:rPr>
            </w:pPr>
          </w:p>
        </w:tc>
        <w:tc>
          <w:tcPr>
            <w:tcW w:w="1910" w:type="dxa"/>
            <w:tcBorders>
              <w:top w:val="single" w:color="auto" w:sz="2" w:space="0"/>
              <w:left w:val="single" w:color="auto" w:sz="2" w:space="0"/>
              <w:bottom w:val="single" w:color="auto" w:sz="2" w:space="0"/>
              <w:right w:val="single" w:color="auto" w:sz="2" w:space="0"/>
            </w:tcBorders>
            <w:vAlign w:val="center"/>
          </w:tcPr>
          <w:p>
            <w:pPr>
              <w:spacing w:line="240" w:lineRule="exact"/>
              <w:jc w:val="right"/>
              <w:rPr>
                <w:rFonts w:ascii="宋体" w:hAnsi="宋体" w:cs="宋体"/>
                <w:sz w:val="21"/>
                <w:szCs w:val="21"/>
              </w:rPr>
            </w:pPr>
          </w:p>
        </w:tc>
        <w:tc>
          <w:tcPr>
            <w:tcW w:w="1950" w:type="dxa"/>
            <w:tcBorders>
              <w:top w:val="single" w:color="auto" w:sz="2" w:space="0"/>
              <w:left w:val="single" w:color="auto" w:sz="2" w:space="0"/>
              <w:bottom w:val="single" w:color="auto" w:sz="2" w:space="0"/>
              <w:right w:val="single" w:color="auto" w:sz="2" w:space="0"/>
            </w:tcBorders>
            <w:vAlign w:val="center"/>
          </w:tcPr>
          <w:p>
            <w:pPr>
              <w:spacing w:line="240" w:lineRule="exact"/>
              <w:jc w:val="right"/>
              <w:rPr>
                <w:rFonts w:ascii="宋体" w:hAnsi="宋体" w:cs="宋体"/>
                <w:sz w:val="21"/>
                <w:szCs w:val="21"/>
              </w:rPr>
            </w:pPr>
          </w:p>
        </w:tc>
        <w:tc>
          <w:tcPr>
            <w:tcW w:w="2623" w:type="dxa"/>
            <w:tcBorders>
              <w:top w:val="single" w:color="auto" w:sz="2" w:space="0"/>
              <w:left w:val="single" w:color="auto" w:sz="2" w:space="0"/>
              <w:bottom w:val="single" w:color="auto" w:sz="2" w:space="0"/>
              <w:right w:val="single" w:color="auto" w:sz="2" w:space="0"/>
            </w:tcBorders>
            <w:vAlign w:val="center"/>
          </w:tcPr>
          <w:p>
            <w:pPr>
              <w:spacing w:line="240" w:lineRule="exact"/>
              <w:jc w:val="right"/>
              <w:rPr>
                <w:rFonts w:ascii="宋体" w:hAnsi="宋体" w:cs="宋体"/>
                <w:sz w:val="21"/>
                <w:szCs w:val="21"/>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156" w:type="dxa"/>
            <w:tcBorders>
              <w:top w:val="single" w:color="auto" w:sz="2" w:space="0"/>
              <w:left w:val="single" w:color="auto" w:sz="2" w:space="0"/>
              <w:bottom w:val="single" w:color="auto" w:sz="2" w:space="0"/>
              <w:right w:val="single" w:color="auto" w:sz="2" w:space="0"/>
            </w:tcBorders>
            <w:shd w:val="clear" w:color="auto" w:fill="D3D3D3"/>
            <w:vAlign w:val="center"/>
          </w:tcPr>
          <w:p>
            <w:pPr>
              <w:rPr>
                <w:sz w:val="21"/>
                <w:szCs w:val="21"/>
              </w:rPr>
            </w:pPr>
          </w:p>
        </w:tc>
        <w:tc>
          <w:tcPr>
            <w:tcW w:w="1910" w:type="dxa"/>
            <w:tcBorders>
              <w:top w:val="single" w:color="auto" w:sz="2" w:space="0"/>
              <w:left w:val="single" w:color="auto" w:sz="2" w:space="0"/>
              <w:bottom w:val="single" w:color="auto" w:sz="2" w:space="0"/>
              <w:right w:val="single" w:color="auto" w:sz="2" w:space="0"/>
            </w:tcBorders>
            <w:shd w:val="clear" w:color="auto" w:fill="D3D3D3"/>
            <w:vAlign w:val="center"/>
          </w:tcPr>
          <w:p>
            <w:pPr>
              <w:spacing w:before="40" w:after="40" w:line="240" w:lineRule="exact"/>
              <w:jc w:val="center"/>
              <w:rPr>
                <w:rFonts w:ascii="宋体" w:hAnsi="宋体" w:cs="宋体"/>
                <w:sz w:val="21"/>
                <w:szCs w:val="21"/>
              </w:rPr>
            </w:pPr>
            <w:r>
              <w:rPr>
                <w:rFonts w:ascii="宋体" w:hAnsi="宋体" w:cs="宋体"/>
                <w:sz w:val="21"/>
                <w:szCs w:val="21"/>
              </w:rPr>
              <w:t>本报告期末</w:t>
            </w:r>
          </w:p>
        </w:tc>
        <w:tc>
          <w:tcPr>
            <w:tcW w:w="1950" w:type="dxa"/>
            <w:tcBorders>
              <w:top w:val="single" w:color="auto" w:sz="2" w:space="0"/>
              <w:left w:val="single" w:color="auto" w:sz="2" w:space="0"/>
              <w:bottom w:val="single" w:color="auto" w:sz="2" w:space="0"/>
              <w:right w:val="single" w:color="auto" w:sz="2" w:space="0"/>
            </w:tcBorders>
            <w:shd w:val="clear" w:color="auto" w:fill="D3D3D3"/>
            <w:vAlign w:val="center"/>
          </w:tcPr>
          <w:p>
            <w:pPr>
              <w:spacing w:before="40" w:after="40" w:line="240" w:lineRule="exact"/>
              <w:jc w:val="center"/>
              <w:rPr>
                <w:rFonts w:ascii="宋体" w:hAnsi="宋体" w:cs="宋体"/>
                <w:sz w:val="21"/>
                <w:szCs w:val="21"/>
              </w:rPr>
            </w:pPr>
            <w:r>
              <w:rPr>
                <w:rFonts w:ascii="宋体" w:hAnsi="宋体" w:cs="宋体"/>
                <w:sz w:val="21"/>
                <w:szCs w:val="21"/>
              </w:rPr>
              <w:t>上年度末</w:t>
            </w:r>
          </w:p>
        </w:tc>
        <w:tc>
          <w:tcPr>
            <w:tcW w:w="2623" w:type="dxa"/>
            <w:tcBorders>
              <w:top w:val="single" w:color="auto" w:sz="2" w:space="0"/>
              <w:left w:val="single" w:color="auto" w:sz="2" w:space="0"/>
              <w:bottom w:val="single" w:color="auto" w:sz="2" w:space="0"/>
              <w:right w:val="single" w:color="auto" w:sz="2" w:space="0"/>
            </w:tcBorders>
            <w:shd w:val="clear" w:color="auto" w:fill="D3D3D3"/>
            <w:vAlign w:val="center"/>
          </w:tcPr>
          <w:p>
            <w:pPr>
              <w:spacing w:before="40" w:after="40" w:line="240" w:lineRule="exact"/>
              <w:jc w:val="center"/>
              <w:rPr>
                <w:rFonts w:ascii="宋体" w:hAnsi="宋体" w:cs="宋体"/>
                <w:sz w:val="21"/>
                <w:szCs w:val="21"/>
              </w:rPr>
            </w:pPr>
            <w:r>
              <w:rPr>
                <w:rFonts w:ascii="宋体" w:hAnsi="宋体" w:cs="宋体"/>
                <w:sz w:val="21"/>
                <w:szCs w:val="21"/>
              </w:rPr>
              <w:t>本报告期末比上年度末增减</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156" w:type="dxa"/>
            <w:tcBorders>
              <w:top w:val="single" w:color="auto" w:sz="2" w:space="0"/>
              <w:left w:val="single" w:color="auto" w:sz="2" w:space="0"/>
              <w:bottom w:val="single" w:color="auto" w:sz="2" w:space="0"/>
              <w:right w:val="single" w:color="auto" w:sz="2" w:space="0"/>
            </w:tcBorders>
            <w:shd w:val="clear" w:color="auto" w:fill="D3D3D3"/>
            <w:vAlign w:val="center"/>
          </w:tcPr>
          <w:p>
            <w:pPr>
              <w:spacing w:before="40" w:after="40" w:line="240" w:lineRule="exact"/>
              <w:jc w:val="left"/>
              <w:rPr>
                <w:rFonts w:ascii="宋体" w:hAnsi="宋体" w:cs="宋体"/>
                <w:sz w:val="21"/>
                <w:szCs w:val="21"/>
              </w:rPr>
            </w:pPr>
            <w:r>
              <w:rPr>
                <w:rFonts w:ascii="宋体" w:hAnsi="宋体" w:cs="宋体"/>
                <w:sz w:val="21"/>
                <w:szCs w:val="21"/>
              </w:rPr>
              <w:t>总资产（元）</w:t>
            </w:r>
          </w:p>
        </w:tc>
        <w:tc>
          <w:tcPr>
            <w:tcW w:w="1910" w:type="dxa"/>
            <w:tcBorders>
              <w:top w:val="single" w:color="auto" w:sz="2" w:space="0"/>
              <w:left w:val="single" w:color="auto" w:sz="2" w:space="0"/>
              <w:bottom w:val="single" w:color="auto" w:sz="2" w:space="0"/>
              <w:right w:val="single" w:color="auto" w:sz="2" w:space="0"/>
            </w:tcBorders>
            <w:vAlign w:val="center"/>
          </w:tcPr>
          <w:p>
            <w:pPr>
              <w:spacing w:line="240" w:lineRule="exact"/>
              <w:jc w:val="right"/>
              <w:rPr>
                <w:rFonts w:ascii="宋体" w:hAnsi="宋体" w:cs="宋体"/>
                <w:sz w:val="21"/>
                <w:szCs w:val="21"/>
              </w:rPr>
            </w:pPr>
            <w:r>
              <w:rPr>
                <w:sz w:val="21"/>
                <w:szCs w:val="21"/>
              </w:rPr>
              <w:t>11,606,489,836.29</w:t>
            </w:r>
          </w:p>
        </w:tc>
        <w:tc>
          <w:tcPr>
            <w:tcW w:w="1950" w:type="dxa"/>
            <w:tcBorders>
              <w:top w:val="single" w:color="auto" w:sz="2" w:space="0"/>
              <w:left w:val="single" w:color="auto" w:sz="2" w:space="0"/>
              <w:bottom w:val="single" w:color="auto" w:sz="2" w:space="0"/>
              <w:right w:val="single" w:color="auto" w:sz="2" w:space="0"/>
            </w:tcBorders>
            <w:vAlign w:val="center"/>
          </w:tcPr>
          <w:p>
            <w:pPr>
              <w:spacing w:line="240" w:lineRule="exact"/>
              <w:jc w:val="right"/>
              <w:rPr>
                <w:rFonts w:ascii="宋体" w:hAnsi="宋体" w:cs="宋体"/>
                <w:sz w:val="21"/>
                <w:szCs w:val="21"/>
              </w:rPr>
            </w:pPr>
            <w:r>
              <w:rPr>
                <w:sz w:val="21"/>
                <w:szCs w:val="21"/>
              </w:rPr>
              <w:t>11,972,423,061.82</w:t>
            </w:r>
          </w:p>
        </w:tc>
        <w:tc>
          <w:tcPr>
            <w:tcW w:w="2623" w:type="dxa"/>
            <w:tcBorders>
              <w:top w:val="single" w:color="auto" w:sz="2" w:space="0"/>
              <w:left w:val="single" w:color="auto" w:sz="2" w:space="0"/>
              <w:bottom w:val="single" w:color="auto" w:sz="2" w:space="0"/>
              <w:right w:val="single" w:color="auto" w:sz="2" w:space="0"/>
            </w:tcBorders>
            <w:vAlign w:val="center"/>
          </w:tcPr>
          <w:p>
            <w:pPr>
              <w:spacing w:line="240" w:lineRule="exact"/>
              <w:jc w:val="right"/>
              <w:rPr>
                <w:rFonts w:ascii="宋体" w:hAnsi="宋体" w:cs="宋体"/>
                <w:sz w:val="21"/>
                <w:szCs w:val="21"/>
              </w:rPr>
            </w:pPr>
            <w:r>
              <w:rPr>
                <w:sz w:val="21"/>
                <w:szCs w:val="21"/>
              </w:rPr>
              <w:t>-3.06%</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156" w:type="dxa"/>
            <w:tcBorders>
              <w:top w:val="single" w:color="auto" w:sz="2" w:space="0"/>
              <w:left w:val="single" w:color="auto" w:sz="2" w:space="0"/>
              <w:bottom w:val="single" w:color="auto" w:sz="2" w:space="0"/>
              <w:right w:val="single" w:color="auto" w:sz="2" w:space="0"/>
            </w:tcBorders>
            <w:shd w:val="clear" w:color="auto" w:fill="D3D3D3"/>
            <w:vAlign w:val="center"/>
          </w:tcPr>
          <w:p>
            <w:pPr>
              <w:spacing w:before="40" w:after="40" w:line="240" w:lineRule="exact"/>
              <w:jc w:val="left"/>
              <w:rPr>
                <w:rFonts w:ascii="宋体" w:hAnsi="宋体" w:cs="宋体"/>
                <w:sz w:val="21"/>
                <w:szCs w:val="21"/>
              </w:rPr>
            </w:pPr>
            <w:r>
              <w:rPr>
                <w:rFonts w:ascii="宋体" w:hAnsi="宋体" w:cs="宋体"/>
                <w:sz w:val="21"/>
                <w:szCs w:val="21"/>
              </w:rPr>
              <w:t>归属于上市公司股东的净资产（元）</w:t>
            </w:r>
          </w:p>
        </w:tc>
        <w:tc>
          <w:tcPr>
            <w:tcW w:w="1910" w:type="dxa"/>
            <w:tcBorders>
              <w:top w:val="single" w:color="auto" w:sz="2" w:space="0"/>
              <w:left w:val="single" w:color="auto" w:sz="2" w:space="0"/>
              <w:bottom w:val="single" w:color="auto" w:sz="2" w:space="0"/>
              <w:right w:val="single" w:color="auto" w:sz="2" w:space="0"/>
            </w:tcBorders>
            <w:vAlign w:val="center"/>
          </w:tcPr>
          <w:p>
            <w:pPr>
              <w:spacing w:line="240" w:lineRule="exact"/>
              <w:jc w:val="right"/>
              <w:rPr>
                <w:rFonts w:ascii="宋体" w:hAnsi="宋体" w:cs="宋体"/>
                <w:sz w:val="21"/>
                <w:szCs w:val="21"/>
              </w:rPr>
            </w:pPr>
            <w:r>
              <w:rPr>
                <w:sz w:val="21"/>
                <w:szCs w:val="21"/>
              </w:rPr>
              <w:t>6,202,951,680.07</w:t>
            </w:r>
          </w:p>
        </w:tc>
        <w:tc>
          <w:tcPr>
            <w:tcW w:w="1950" w:type="dxa"/>
            <w:tcBorders>
              <w:top w:val="single" w:color="auto" w:sz="2" w:space="0"/>
              <w:left w:val="single" w:color="auto" w:sz="2" w:space="0"/>
              <w:bottom w:val="single" w:color="auto" w:sz="2" w:space="0"/>
              <w:right w:val="single" w:color="auto" w:sz="2" w:space="0"/>
            </w:tcBorders>
            <w:vAlign w:val="center"/>
          </w:tcPr>
          <w:p>
            <w:pPr>
              <w:spacing w:line="240" w:lineRule="exact"/>
              <w:jc w:val="right"/>
              <w:rPr>
                <w:rFonts w:ascii="宋体" w:hAnsi="宋体" w:cs="宋体"/>
                <w:sz w:val="21"/>
                <w:szCs w:val="21"/>
              </w:rPr>
            </w:pPr>
            <w:r>
              <w:rPr>
                <w:sz w:val="21"/>
                <w:szCs w:val="21"/>
              </w:rPr>
              <w:t>6,326,079,639.87</w:t>
            </w:r>
          </w:p>
        </w:tc>
        <w:tc>
          <w:tcPr>
            <w:tcW w:w="2623" w:type="dxa"/>
            <w:tcBorders>
              <w:top w:val="single" w:color="auto" w:sz="2" w:space="0"/>
              <w:left w:val="single" w:color="auto" w:sz="2" w:space="0"/>
              <w:bottom w:val="single" w:color="auto" w:sz="2" w:space="0"/>
              <w:right w:val="single" w:color="auto" w:sz="2" w:space="0"/>
            </w:tcBorders>
            <w:vAlign w:val="center"/>
          </w:tcPr>
          <w:p>
            <w:pPr>
              <w:spacing w:line="240" w:lineRule="exact"/>
              <w:jc w:val="right"/>
              <w:rPr>
                <w:rFonts w:ascii="宋体" w:hAnsi="宋体" w:cs="宋体"/>
                <w:sz w:val="21"/>
                <w:szCs w:val="21"/>
              </w:rPr>
            </w:pPr>
            <w:r>
              <w:rPr>
                <w:sz w:val="21"/>
                <w:szCs w:val="21"/>
              </w:rPr>
              <w:t>-1.95%</w:t>
            </w:r>
          </w:p>
        </w:tc>
      </w:tr>
    </w:tbl>
    <w:p>
      <w:pPr>
        <w:keepNext/>
        <w:keepLines/>
        <w:spacing w:before="300" w:after="300" w:line="280" w:lineRule="exact"/>
        <w:jc w:val="left"/>
        <w:outlineLvl w:val="2"/>
        <w:rPr>
          <w:rFonts w:ascii="宋体" w:hAnsi="宋体" w:eastAsia="宋体" w:cs="宋体"/>
          <w:b/>
          <w:bCs/>
          <w:sz w:val="21"/>
          <w:szCs w:val="21"/>
        </w:rPr>
      </w:pPr>
      <w:r>
        <w:rPr>
          <w:rFonts w:ascii="宋体" w:hAnsi="宋体" w:eastAsia="宋体" w:cs="宋体"/>
          <w:b/>
          <w:bCs/>
          <w:sz w:val="21"/>
          <w:szCs w:val="21"/>
        </w:rPr>
        <w:t>3、公司股东数量及持股情况</w:t>
      </w:r>
      <w:bookmarkEnd w:id="4"/>
    </w:p>
    <w:p>
      <w:pPr>
        <w:spacing w:before="120" w:after="120" w:line="240" w:lineRule="exact"/>
        <w:jc w:val="right"/>
        <w:rPr>
          <w:rFonts w:ascii="宋体" w:hAnsi="宋体" w:eastAsia="宋体" w:cs="宋体"/>
          <w:sz w:val="18"/>
          <w:szCs w:val="18"/>
        </w:rPr>
      </w:pPr>
      <w:r>
        <w:rPr>
          <w:rFonts w:ascii="宋体" w:hAnsi="宋体" w:eastAsia="宋体" w:cs="宋体"/>
          <w:sz w:val="18"/>
          <w:szCs w:val="18"/>
        </w:rPr>
        <w:t>单位：股</w:t>
      </w:r>
    </w:p>
    <w:tbl>
      <w:tblPr>
        <w:tblStyle w:val="3"/>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071"/>
        <w:gridCol w:w="1071"/>
        <w:gridCol w:w="984"/>
        <w:gridCol w:w="1158"/>
        <w:gridCol w:w="1071"/>
        <w:gridCol w:w="1071"/>
        <w:gridCol w:w="1071"/>
        <w:gridCol w:w="838"/>
        <w:gridCol w:w="1304"/>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142" w:type="dxa"/>
            <w:gridSpan w:val="2"/>
            <w:tcBorders>
              <w:top w:val="single" w:color="auto" w:sz="2" w:space="0"/>
              <w:left w:val="single" w:color="auto" w:sz="2" w:space="0"/>
              <w:bottom w:val="single" w:color="auto" w:sz="2" w:space="0"/>
              <w:right w:val="single" w:color="auto" w:sz="2" w:space="0"/>
            </w:tcBorders>
            <w:shd w:val="clear" w:color="auto" w:fill="D3D3D3"/>
            <w:vAlign w:val="center"/>
          </w:tcPr>
          <w:p>
            <w:pPr>
              <w:spacing w:before="40" w:after="40" w:line="240" w:lineRule="exact"/>
              <w:jc w:val="left"/>
              <w:rPr>
                <w:rFonts w:hint="default" w:ascii="Times New Roman" w:hAnsi="Times New Roman" w:eastAsia="宋体" w:cs="Times New Roman"/>
                <w:sz w:val="21"/>
                <w:szCs w:val="21"/>
              </w:rPr>
            </w:pPr>
            <w:bookmarkStart w:id="5" w:name="_Toc988894"/>
            <w:r>
              <w:rPr>
                <w:rFonts w:hint="default" w:ascii="Times New Roman" w:hAnsi="Times New Roman" w:eastAsia="宋体" w:cs="Times New Roman"/>
                <w:sz w:val="21"/>
                <w:szCs w:val="21"/>
              </w:rPr>
              <w:t>报告期末普通股股东总数</w:t>
            </w:r>
          </w:p>
        </w:tc>
        <w:tc>
          <w:tcPr>
            <w:tcW w:w="2142" w:type="dxa"/>
            <w:gridSpan w:val="2"/>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37,775</w:t>
            </w:r>
          </w:p>
        </w:tc>
        <w:tc>
          <w:tcPr>
            <w:tcW w:w="3213" w:type="dxa"/>
            <w:gridSpan w:val="3"/>
            <w:tcBorders>
              <w:top w:val="single" w:color="auto" w:sz="2" w:space="0"/>
              <w:left w:val="single" w:color="auto" w:sz="2" w:space="0"/>
              <w:bottom w:val="single" w:color="auto" w:sz="2" w:space="0"/>
              <w:right w:val="single" w:color="auto" w:sz="2" w:space="0"/>
            </w:tcBorders>
            <w:shd w:val="clear" w:color="auto" w:fill="D3D3D3"/>
            <w:vAlign w:val="center"/>
          </w:tcPr>
          <w:p>
            <w:pPr>
              <w:spacing w:before="40" w:after="40" w:line="240" w:lineRule="exact"/>
              <w:jc w:val="lef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报告期末表决权恢复的优先股股东总数（如有）</w:t>
            </w:r>
          </w:p>
        </w:tc>
        <w:tc>
          <w:tcPr>
            <w:tcW w:w="2142" w:type="dxa"/>
            <w:gridSpan w:val="2"/>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0</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9639" w:type="dxa"/>
            <w:gridSpan w:val="9"/>
            <w:tcBorders>
              <w:top w:val="single" w:color="auto" w:sz="2" w:space="0"/>
              <w:left w:val="single" w:color="auto" w:sz="2" w:space="0"/>
              <w:bottom w:val="single" w:color="auto" w:sz="2" w:space="0"/>
              <w:right w:val="single" w:color="auto" w:sz="2" w:space="0"/>
            </w:tcBorders>
            <w:shd w:val="clear" w:color="auto" w:fill="D3D3D3"/>
            <w:vAlign w:val="center"/>
          </w:tcPr>
          <w:p>
            <w:pPr>
              <w:spacing w:before="40" w:after="40" w:line="24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持股5%以上的普通股股东或前10名普通股股东持股情况</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071"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pPr>
              <w:spacing w:before="40" w:after="40" w:line="24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股东名称</w:t>
            </w:r>
          </w:p>
        </w:tc>
        <w:tc>
          <w:tcPr>
            <w:tcW w:w="1071"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pPr>
              <w:spacing w:before="40" w:after="40" w:line="24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股东性质</w:t>
            </w:r>
          </w:p>
        </w:tc>
        <w:tc>
          <w:tcPr>
            <w:tcW w:w="984"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pPr>
              <w:spacing w:before="40" w:after="40" w:line="24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持股比例</w:t>
            </w:r>
          </w:p>
        </w:tc>
        <w:tc>
          <w:tcPr>
            <w:tcW w:w="1158"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pPr>
              <w:spacing w:before="40" w:after="40" w:line="24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报告期末持有的普通股数量</w:t>
            </w:r>
          </w:p>
        </w:tc>
        <w:tc>
          <w:tcPr>
            <w:tcW w:w="1071"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pPr>
              <w:spacing w:before="40" w:after="40" w:line="24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报告期内增减变动情况</w:t>
            </w:r>
          </w:p>
        </w:tc>
        <w:tc>
          <w:tcPr>
            <w:tcW w:w="1071"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pPr>
              <w:spacing w:before="40" w:after="40" w:line="24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持有有限售条件的普通股数量</w:t>
            </w:r>
          </w:p>
        </w:tc>
        <w:tc>
          <w:tcPr>
            <w:tcW w:w="1071"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pPr>
              <w:spacing w:before="40" w:after="40" w:line="24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持有无限售条件的普通股数量</w:t>
            </w:r>
          </w:p>
        </w:tc>
        <w:tc>
          <w:tcPr>
            <w:tcW w:w="2142" w:type="dxa"/>
            <w:gridSpan w:val="2"/>
            <w:tcBorders>
              <w:top w:val="single" w:color="auto" w:sz="2" w:space="0"/>
              <w:left w:val="single" w:color="auto" w:sz="2" w:space="0"/>
              <w:bottom w:val="single" w:color="auto" w:sz="2" w:space="0"/>
              <w:right w:val="single" w:color="auto" w:sz="2" w:space="0"/>
            </w:tcBorders>
            <w:shd w:val="clear" w:color="auto" w:fill="D3D3D3"/>
            <w:vAlign w:val="center"/>
          </w:tcPr>
          <w:p>
            <w:pPr>
              <w:spacing w:before="40" w:after="40" w:line="24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质押、标记或冻结情况</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071"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pPr>
              <w:rPr>
                <w:rFonts w:hint="default" w:ascii="Times New Roman" w:hAnsi="Times New Roman" w:cs="Times New Roman"/>
                <w:sz w:val="21"/>
                <w:szCs w:val="21"/>
              </w:rPr>
            </w:pPr>
          </w:p>
        </w:tc>
        <w:tc>
          <w:tcPr>
            <w:tcW w:w="1071"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pPr>
              <w:rPr>
                <w:rFonts w:hint="default" w:ascii="Times New Roman" w:hAnsi="Times New Roman" w:cs="Times New Roman"/>
                <w:sz w:val="21"/>
                <w:szCs w:val="21"/>
              </w:rPr>
            </w:pPr>
          </w:p>
        </w:tc>
        <w:tc>
          <w:tcPr>
            <w:tcW w:w="984"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pPr>
              <w:rPr>
                <w:rFonts w:hint="default" w:ascii="Times New Roman" w:hAnsi="Times New Roman" w:cs="Times New Roman"/>
                <w:sz w:val="21"/>
                <w:szCs w:val="21"/>
              </w:rPr>
            </w:pPr>
          </w:p>
        </w:tc>
        <w:tc>
          <w:tcPr>
            <w:tcW w:w="1158"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pPr>
              <w:rPr>
                <w:rFonts w:hint="default" w:ascii="Times New Roman" w:hAnsi="Times New Roman" w:cs="Times New Roman"/>
                <w:sz w:val="21"/>
                <w:szCs w:val="21"/>
              </w:rPr>
            </w:pPr>
          </w:p>
        </w:tc>
        <w:tc>
          <w:tcPr>
            <w:tcW w:w="1071"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pPr>
              <w:rPr>
                <w:rFonts w:hint="default" w:ascii="Times New Roman" w:hAnsi="Times New Roman" w:cs="Times New Roman"/>
                <w:sz w:val="21"/>
                <w:szCs w:val="21"/>
              </w:rPr>
            </w:pPr>
          </w:p>
        </w:tc>
        <w:tc>
          <w:tcPr>
            <w:tcW w:w="1071"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pPr>
              <w:rPr>
                <w:rFonts w:hint="default" w:ascii="Times New Roman" w:hAnsi="Times New Roman" w:cs="Times New Roman"/>
                <w:sz w:val="21"/>
                <w:szCs w:val="21"/>
              </w:rPr>
            </w:pPr>
          </w:p>
        </w:tc>
        <w:tc>
          <w:tcPr>
            <w:tcW w:w="1071"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pPr>
              <w:rPr>
                <w:rFonts w:hint="default" w:ascii="Times New Roman" w:hAnsi="Times New Roman" w:cs="Times New Roman"/>
                <w:color w:val="auto"/>
                <w:sz w:val="21"/>
                <w:szCs w:val="21"/>
              </w:rPr>
            </w:pPr>
          </w:p>
        </w:tc>
        <w:tc>
          <w:tcPr>
            <w:tcW w:w="838" w:type="dxa"/>
            <w:tcBorders>
              <w:top w:val="single" w:color="auto" w:sz="2" w:space="0"/>
              <w:left w:val="single" w:color="auto" w:sz="2" w:space="0"/>
              <w:bottom w:val="single" w:color="auto" w:sz="2" w:space="0"/>
              <w:right w:val="single" w:color="auto" w:sz="2" w:space="0"/>
            </w:tcBorders>
            <w:shd w:val="clear" w:color="auto" w:fill="D3D3D3"/>
            <w:vAlign w:val="center"/>
          </w:tcPr>
          <w:p>
            <w:pPr>
              <w:spacing w:before="40" w:after="40" w:line="24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股份状态</w:t>
            </w:r>
          </w:p>
        </w:tc>
        <w:tc>
          <w:tcPr>
            <w:tcW w:w="1304" w:type="dxa"/>
            <w:tcBorders>
              <w:top w:val="single" w:color="auto" w:sz="2" w:space="0"/>
              <w:left w:val="single" w:color="auto" w:sz="2" w:space="0"/>
              <w:bottom w:val="single" w:color="auto" w:sz="2" w:space="0"/>
              <w:right w:val="single" w:color="auto" w:sz="2" w:space="0"/>
            </w:tcBorders>
            <w:shd w:val="clear" w:color="auto" w:fill="D3D3D3"/>
            <w:vAlign w:val="center"/>
          </w:tcPr>
          <w:p>
            <w:pPr>
              <w:spacing w:before="40" w:after="40" w:line="24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数量</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071"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lef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中广核核技术应用有限公司</w:t>
            </w:r>
          </w:p>
        </w:tc>
        <w:tc>
          <w:tcPr>
            <w:tcW w:w="1071"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lef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国有法人</w:t>
            </w:r>
          </w:p>
        </w:tc>
        <w:tc>
          <w:tcPr>
            <w:tcW w:w="984"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27.28%</w:t>
            </w:r>
          </w:p>
        </w:tc>
        <w:tc>
          <w:tcPr>
            <w:tcW w:w="1158"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257,911,972</w:t>
            </w:r>
          </w:p>
        </w:tc>
        <w:tc>
          <w:tcPr>
            <w:tcW w:w="1071"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lef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0</w:t>
            </w:r>
          </w:p>
        </w:tc>
        <w:tc>
          <w:tcPr>
            <w:tcW w:w="1071"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28,558,024</w:t>
            </w:r>
          </w:p>
        </w:tc>
        <w:tc>
          <w:tcPr>
            <w:tcW w:w="1071"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eastAsia="宋体" w:cs="Times New Roman"/>
                <w:color w:val="auto"/>
                <w:sz w:val="21"/>
                <w:szCs w:val="21"/>
              </w:rPr>
            </w:pPr>
            <w:r>
              <w:rPr>
                <w:rFonts w:hint="default"/>
                <w:color w:val="auto"/>
                <w:szCs w:val="21"/>
              </w:rPr>
              <w:t xml:space="preserve">229,353,948 </w:t>
            </w:r>
          </w:p>
        </w:tc>
        <w:tc>
          <w:tcPr>
            <w:tcW w:w="838"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left"/>
              <w:rPr>
                <w:rFonts w:hint="default" w:ascii="Times New Roman" w:hAnsi="Times New Roman" w:eastAsia="宋体" w:cs="Times New Roman"/>
                <w:sz w:val="21"/>
                <w:szCs w:val="21"/>
              </w:rPr>
            </w:pPr>
          </w:p>
        </w:tc>
        <w:tc>
          <w:tcPr>
            <w:tcW w:w="1304"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eastAsia="宋体" w:cs="Times New Roman"/>
                <w:sz w:val="21"/>
                <w:szCs w:val="21"/>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500" w:hRule="atLeast"/>
        </w:trPr>
        <w:tc>
          <w:tcPr>
            <w:tcW w:w="1071" w:type="dxa"/>
            <w:vMerge w:val="restart"/>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lef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中国大连国际经济技术合作集团有限公司</w:t>
            </w:r>
          </w:p>
        </w:tc>
        <w:tc>
          <w:tcPr>
            <w:tcW w:w="1071" w:type="dxa"/>
            <w:vMerge w:val="restart"/>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lef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境内非国有法人</w:t>
            </w:r>
          </w:p>
        </w:tc>
        <w:tc>
          <w:tcPr>
            <w:tcW w:w="984" w:type="dxa"/>
            <w:vMerge w:val="restart"/>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12.58%</w:t>
            </w:r>
          </w:p>
        </w:tc>
        <w:tc>
          <w:tcPr>
            <w:tcW w:w="1158" w:type="dxa"/>
            <w:vMerge w:val="restart"/>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118,914,273</w:t>
            </w:r>
          </w:p>
        </w:tc>
        <w:tc>
          <w:tcPr>
            <w:tcW w:w="1071" w:type="dxa"/>
            <w:vMerge w:val="restart"/>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lef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0</w:t>
            </w:r>
          </w:p>
        </w:tc>
        <w:tc>
          <w:tcPr>
            <w:tcW w:w="1071" w:type="dxa"/>
            <w:vMerge w:val="restart"/>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62,141,491</w:t>
            </w:r>
          </w:p>
        </w:tc>
        <w:tc>
          <w:tcPr>
            <w:tcW w:w="1071" w:type="dxa"/>
            <w:vMerge w:val="restart"/>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eastAsia="宋体" w:cs="Times New Roman"/>
                <w:color w:val="auto"/>
                <w:sz w:val="21"/>
                <w:szCs w:val="21"/>
              </w:rPr>
            </w:pPr>
            <w:r>
              <w:rPr>
                <w:rFonts w:hint="default"/>
                <w:color w:val="auto"/>
                <w:szCs w:val="21"/>
              </w:rPr>
              <w:t xml:space="preserve">56,772,782 </w:t>
            </w:r>
          </w:p>
        </w:tc>
        <w:tc>
          <w:tcPr>
            <w:tcW w:w="838"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lef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质押</w:t>
            </w:r>
          </w:p>
        </w:tc>
        <w:tc>
          <w:tcPr>
            <w:tcW w:w="1304"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118,914,273</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071" w:type="dxa"/>
            <w:vMerge w:val="continue"/>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lef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中国大连国际经济技术合作集团有限公司</w:t>
            </w:r>
          </w:p>
        </w:tc>
        <w:tc>
          <w:tcPr>
            <w:tcW w:w="1071" w:type="dxa"/>
            <w:vMerge w:val="continue"/>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lef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境内非国有法人</w:t>
            </w:r>
          </w:p>
        </w:tc>
        <w:tc>
          <w:tcPr>
            <w:tcW w:w="984" w:type="dxa"/>
            <w:vMerge w:val="continue"/>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12.58%</w:t>
            </w:r>
          </w:p>
        </w:tc>
        <w:tc>
          <w:tcPr>
            <w:tcW w:w="1158" w:type="dxa"/>
            <w:vMerge w:val="continue"/>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118,914,273</w:t>
            </w:r>
          </w:p>
        </w:tc>
        <w:tc>
          <w:tcPr>
            <w:tcW w:w="1071" w:type="dxa"/>
            <w:vMerge w:val="continue"/>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lef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0</w:t>
            </w:r>
          </w:p>
        </w:tc>
        <w:tc>
          <w:tcPr>
            <w:tcW w:w="1071" w:type="dxa"/>
            <w:vMerge w:val="continue"/>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62,141,491</w:t>
            </w:r>
          </w:p>
        </w:tc>
        <w:tc>
          <w:tcPr>
            <w:tcW w:w="1071" w:type="dxa"/>
            <w:vMerge w:val="continue"/>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118,914,273</w:t>
            </w:r>
          </w:p>
        </w:tc>
        <w:tc>
          <w:tcPr>
            <w:tcW w:w="838"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lef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冻结</w:t>
            </w:r>
          </w:p>
        </w:tc>
        <w:tc>
          <w:tcPr>
            <w:tcW w:w="1304"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91,027,046</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071"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lef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陈晓敏</w:t>
            </w:r>
          </w:p>
        </w:tc>
        <w:tc>
          <w:tcPr>
            <w:tcW w:w="1071"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lef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境内自然人</w:t>
            </w:r>
          </w:p>
        </w:tc>
        <w:tc>
          <w:tcPr>
            <w:tcW w:w="984"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4.51%</w:t>
            </w:r>
          </w:p>
        </w:tc>
        <w:tc>
          <w:tcPr>
            <w:tcW w:w="1158"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42,667,163</w:t>
            </w:r>
          </w:p>
        </w:tc>
        <w:tc>
          <w:tcPr>
            <w:tcW w:w="1071"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lef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0</w:t>
            </w:r>
          </w:p>
        </w:tc>
        <w:tc>
          <w:tcPr>
            <w:tcW w:w="1071"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11,469,623</w:t>
            </w:r>
          </w:p>
        </w:tc>
        <w:tc>
          <w:tcPr>
            <w:tcW w:w="1071"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eastAsia="宋体" w:cs="Times New Roman"/>
                <w:color w:val="auto"/>
                <w:sz w:val="21"/>
                <w:szCs w:val="21"/>
              </w:rPr>
            </w:pPr>
            <w:r>
              <w:rPr>
                <w:rFonts w:hint="default"/>
                <w:color w:val="auto"/>
                <w:szCs w:val="21"/>
              </w:rPr>
              <w:t xml:space="preserve">31,197,540 </w:t>
            </w:r>
          </w:p>
        </w:tc>
        <w:tc>
          <w:tcPr>
            <w:tcW w:w="838"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lef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质押</w:t>
            </w:r>
          </w:p>
        </w:tc>
        <w:tc>
          <w:tcPr>
            <w:tcW w:w="1304"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41,000,000</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071"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lef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江苏达胜热缩材料有限公司</w:t>
            </w:r>
          </w:p>
        </w:tc>
        <w:tc>
          <w:tcPr>
            <w:tcW w:w="1071"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lef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境内非国有法人</w:t>
            </w:r>
          </w:p>
        </w:tc>
        <w:tc>
          <w:tcPr>
            <w:tcW w:w="984"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1.86%</w:t>
            </w:r>
          </w:p>
        </w:tc>
        <w:tc>
          <w:tcPr>
            <w:tcW w:w="1158"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17,590,750</w:t>
            </w:r>
          </w:p>
        </w:tc>
        <w:tc>
          <w:tcPr>
            <w:tcW w:w="1071"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lef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0</w:t>
            </w:r>
          </w:p>
        </w:tc>
        <w:tc>
          <w:tcPr>
            <w:tcW w:w="1071"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17,590,750</w:t>
            </w:r>
          </w:p>
        </w:tc>
        <w:tc>
          <w:tcPr>
            <w:tcW w:w="1071"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eastAsia="宋体" w:cs="Times New Roman"/>
                <w:color w:val="auto"/>
                <w:sz w:val="21"/>
                <w:szCs w:val="21"/>
              </w:rPr>
            </w:pPr>
          </w:p>
        </w:tc>
        <w:tc>
          <w:tcPr>
            <w:tcW w:w="838"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left"/>
              <w:rPr>
                <w:rFonts w:hint="default" w:ascii="Times New Roman" w:hAnsi="Times New Roman" w:eastAsia="宋体" w:cs="Times New Roman"/>
                <w:sz w:val="21"/>
                <w:szCs w:val="21"/>
              </w:rPr>
            </w:pPr>
          </w:p>
        </w:tc>
        <w:tc>
          <w:tcPr>
            <w:tcW w:w="1304"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eastAsia="宋体" w:cs="Times New Roman"/>
                <w:sz w:val="21"/>
                <w:szCs w:val="21"/>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071"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lef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芜湖渝宾投资中心（有限合伙）</w:t>
            </w:r>
          </w:p>
        </w:tc>
        <w:tc>
          <w:tcPr>
            <w:tcW w:w="1071"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lef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境内非国有法人</w:t>
            </w:r>
          </w:p>
        </w:tc>
        <w:tc>
          <w:tcPr>
            <w:tcW w:w="984"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1.52%</w:t>
            </w:r>
          </w:p>
        </w:tc>
        <w:tc>
          <w:tcPr>
            <w:tcW w:w="1158"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14,340,344</w:t>
            </w:r>
          </w:p>
        </w:tc>
        <w:tc>
          <w:tcPr>
            <w:tcW w:w="1071"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lef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0</w:t>
            </w:r>
          </w:p>
        </w:tc>
        <w:tc>
          <w:tcPr>
            <w:tcW w:w="1071"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0</w:t>
            </w:r>
          </w:p>
        </w:tc>
        <w:tc>
          <w:tcPr>
            <w:tcW w:w="1071"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14,340,344</w:t>
            </w:r>
          </w:p>
        </w:tc>
        <w:tc>
          <w:tcPr>
            <w:tcW w:w="838"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left"/>
              <w:rPr>
                <w:rFonts w:hint="default" w:ascii="Times New Roman" w:hAnsi="Times New Roman" w:eastAsia="宋体" w:cs="Times New Roman"/>
                <w:sz w:val="21"/>
                <w:szCs w:val="21"/>
              </w:rPr>
            </w:pPr>
          </w:p>
        </w:tc>
        <w:tc>
          <w:tcPr>
            <w:tcW w:w="1304"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eastAsia="宋体" w:cs="Times New Roman"/>
                <w:sz w:val="21"/>
                <w:szCs w:val="21"/>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071"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lef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中广核资本控股有限公司</w:t>
            </w:r>
          </w:p>
        </w:tc>
        <w:tc>
          <w:tcPr>
            <w:tcW w:w="1071"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lef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国有法人</w:t>
            </w:r>
          </w:p>
        </w:tc>
        <w:tc>
          <w:tcPr>
            <w:tcW w:w="984"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1.33%</w:t>
            </w:r>
          </w:p>
        </w:tc>
        <w:tc>
          <w:tcPr>
            <w:tcW w:w="1158"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12,557,084</w:t>
            </w:r>
          </w:p>
        </w:tc>
        <w:tc>
          <w:tcPr>
            <w:tcW w:w="1071"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lef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0</w:t>
            </w:r>
          </w:p>
        </w:tc>
        <w:tc>
          <w:tcPr>
            <w:tcW w:w="1071"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0</w:t>
            </w:r>
          </w:p>
        </w:tc>
        <w:tc>
          <w:tcPr>
            <w:tcW w:w="1071"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12,557,084</w:t>
            </w:r>
          </w:p>
        </w:tc>
        <w:tc>
          <w:tcPr>
            <w:tcW w:w="838"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left"/>
              <w:rPr>
                <w:rFonts w:hint="default" w:ascii="Times New Roman" w:hAnsi="Times New Roman" w:eastAsia="宋体" w:cs="Times New Roman"/>
                <w:sz w:val="21"/>
                <w:szCs w:val="21"/>
              </w:rPr>
            </w:pPr>
          </w:p>
        </w:tc>
        <w:tc>
          <w:tcPr>
            <w:tcW w:w="1304"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eastAsia="宋体" w:cs="Times New Roman"/>
                <w:sz w:val="21"/>
                <w:szCs w:val="21"/>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071"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lef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单永东</w:t>
            </w:r>
          </w:p>
        </w:tc>
        <w:tc>
          <w:tcPr>
            <w:tcW w:w="1071"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lef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境内自然人</w:t>
            </w:r>
          </w:p>
        </w:tc>
        <w:tc>
          <w:tcPr>
            <w:tcW w:w="984"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0.86%</w:t>
            </w:r>
          </w:p>
        </w:tc>
        <w:tc>
          <w:tcPr>
            <w:tcW w:w="1158"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8,168,577</w:t>
            </w:r>
          </w:p>
        </w:tc>
        <w:tc>
          <w:tcPr>
            <w:tcW w:w="1071"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lef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-31,000</w:t>
            </w:r>
          </w:p>
        </w:tc>
        <w:tc>
          <w:tcPr>
            <w:tcW w:w="1071"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3,735,827</w:t>
            </w:r>
          </w:p>
        </w:tc>
        <w:tc>
          <w:tcPr>
            <w:tcW w:w="1071"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eastAsia="宋体" w:cs="Times New Roman"/>
                <w:color w:val="auto"/>
                <w:sz w:val="21"/>
                <w:szCs w:val="21"/>
              </w:rPr>
            </w:pPr>
            <w:r>
              <w:rPr>
                <w:rFonts w:hint="default"/>
                <w:color w:val="auto"/>
                <w:szCs w:val="21"/>
              </w:rPr>
              <w:t xml:space="preserve">4,432,750 </w:t>
            </w:r>
          </w:p>
        </w:tc>
        <w:tc>
          <w:tcPr>
            <w:tcW w:w="838"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left"/>
              <w:rPr>
                <w:rFonts w:hint="default" w:ascii="Times New Roman" w:hAnsi="Times New Roman" w:eastAsia="宋体" w:cs="Times New Roman"/>
                <w:sz w:val="21"/>
                <w:szCs w:val="21"/>
              </w:rPr>
            </w:pPr>
          </w:p>
        </w:tc>
        <w:tc>
          <w:tcPr>
            <w:tcW w:w="1304"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eastAsia="宋体" w:cs="Times New Roman"/>
                <w:sz w:val="21"/>
                <w:szCs w:val="21"/>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071"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lef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吴翰</w:t>
            </w:r>
          </w:p>
        </w:tc>
        <w:tc>
          <w:tcPr>
            <w:tcW w:w="1071"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lef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境内自然人</w:t>
            </w:r>
          </w:p>
        </w:tc>
        <w:tc>
          <w:tcPr>
            <w:tcW w:w="984"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0.75%</w:t>
            </w:r>
          </w:p>
        </w:tc>
        <w:tc>
          <w:tcPr>
            <w:tcW w:w="1158"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7,060,000</w:t>
            </w:r>
          </w:p>
        </w:tc>
        <w:tc>
          <w:tcPr>
            <w:tcW w:w="1071"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lef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-560,000</w:t>
            </w:r>
          </w:p>
        </w:tc>
        <w:tc>
          <w:tcPr>
            <w:tcW w:w="1071"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0</w:t>
            </w:r>
          </w:p>
        </w:tc>
        <w:tc>
          <w:tcPr>
            <w:tcW w:w="1071"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7,060,000</w:t>
            </w:r>
          </w:p>
        </w:tc>
        <w:tc>
          <w:tcPr>
            <w:tcW w:w="838"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left"/>
              <w:rPr>
                <w:rFonts w:hint="default" w:ascii="Times New Roman" w:hAnsi="Times New Roman" w:eastAsia="宋体" w:cs="Times New Roman"/>
                <w:sz w:val="21"/>
                <w:szCs w:val="21"/>
              </w:rPr>
            </w:pPr>
          </w:p>
        </w:tc>
        <w:tc>
          <w:tcPr>
            <w:tcW w:w="1304"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eastAsia="宋体" w:cs="Times New Roman"/>
                <w:sz w:val="21"/>
                <w:szCs w:val="21"/>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071"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lef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魏建良</w:t>
            </w:r>
          </w:p>
        </w:tc>
        <w:tc>
          <w:tcPr>
            <w:tcW w:w="1071"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lef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境内自然人</w:t>
            </w:r>
          </w:p>
        </w:tc>
        <w:tc>
          <w:tcPr>
            <w:tcW w:w="984"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0.66%</w:t>
            </w:r>
          </w:p>
        </w:tc>
        <w:tc>
          <w:tcPr>
            <w:tcW w:w="1158"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6,226,378</w:t>
            </w:r>
          </w:p>
        </w:tc>
        <w:tc>
          <w:tcPr>
            <w:tcW w:w="1071"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lef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-1,939,900</w:t>
            </w:r>
          </w:p>
        </w:tc>
        <w:tc>
          <w:tcPr>
            <w:tcW w:w="1071"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6,226,378</w:t>
            </w:r>
          </w:p>
        </w:tc>
        <w:tc>
          <w:tcPr>
            <w:tcW w:w="1071"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eastAsia" w:ascii="Times New Roman" w:hAnsi="Times New Roman" w:eastAsia="宋体" w:cs="Times New Roman"/>
                <w:color w:val="auto"/>
                <w:sz w:val="21"/>
                <w:szCs w:val="21"/>
                <w:lang w:eastAsia="zh-CN"/>
              </w:rPr>
            </w:pPr>
            <w:r>
              <w:rPr>
                <w:rFonts w:hint="eastAsia" w:cs="Times New Roman"/>
                <w:color w:val="auto"/>
                <w:sz w:val="21"/>
                <w:szCs w:val="21"/>
                <w:lang w:val="en-US" w:eastAsia="zh-CN"/>
              </w:rPr>
              <w:t>0</w:t>
            </w:r>
          </w:p>
        </w:tc>
        <w:tc>
          <w:tcPr>
            <w:tcW w:w="838"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left"/>
              <w:rPr>
                <w:rFonts w:hint="default" w:ascii="Times New Roman" w:hAnsi="Times New Roman" w:eastAsia="宋体" w:cs="Times New Roman"/>
                <w:sz w:val="21"/>
                <w:szCs w:val="21"/>
              </w:rPr>
            </w:pPr>
          </w:p>
        </w:tc>
        <w:tc>
          <w:tcPr>
            <w:tcW w:w="1304"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eastAsia="宋体" w:cs="Times New Roman"/>
                <w:sz w:val="21"/>
                <w:szCs w:val="21"/>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071"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lef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苏州德尔福商贸有限公司</w:t>
            </w:r>
          </w:p>
        </w:tc>
        <w:tc>
          <w:tcPr>
            <w:tcW w:w="1071"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lef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境内非国有法人</w:t>
            </w:r>
          </w:p>
        </w:tc>
        <w:tc>
          <w:tcPr>
            <w:tcW w:w="984"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0.66%</w:t>
            </w:r>
          </w:p>
        </w:tc>
        <w:tc>
          <w:tcPr>
            <w:tcW w:w="1158"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6,217,580</w:t>
            </w:r>
          </w:p>
        </w:tc>
        <w:tc>
          <w:tcPr>
            <w:tcW w:w="1071"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lef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-340,000</w:t>
            </w:r>
          </w:p>
        </w:tc>
        <w:tc>
          <w:tcPr>
            <w:tcW w:w="1071"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3,113,189</w:t>
            </w:r>
          </w:p>
        </w:tc>
        <w:tc>
          <w:tcPr>
            <w:tcW w:w="1071"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eastAsia="宋体" w:cs="Times New Roman"/>
                <w:color w:val="auto"/>
                <w:sz w:val="21"/>
                <w:szCs w:val="21"/>
              </w:rPr>
            </w:pPr>
            <w:r>
              <w:rPr>
                <w:rFonts w:hint="default"/>
                <w:color w:val="auto"/>
                <w:szCs w:val="21"/>
              </w:rPr>
              <w:t xml:space="preserve">3,104,391 </w:t>
            </w:r>
          </w:p>
        </w:tc>
        <w:tc>
          <w:tcPr>
            <w:tcW w:w="838"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lef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质押</w:t>
            </w:r>
          </w:p>
        </w:tc>
        <w:tc>
          <w:tcPr>
            <w:tcW w:w="1304"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1,500,000</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142" w:type="dxa"/>
            <w:gridSpan w:val="2"/>
            <w:tcBorders>
              <w:top w:val="single" w:color="auto" w:sz="2" w:space="0"/>
              <w:left w:val="single" w:color="auto" w:sz="2" w:space="0"/>
              <w:bottom w:val="single" w:color="auto" w:sz="2" w:space="0"/>
              <w:right w:val="single" w:color="auto" w:sz="2" w:space="0"/>
            </w:tcBorders>
            <w:shd w:val="clear" w:color="auto" w:fill="D3D3D3"/>
            <w:vAlign w:val="center"/>
          </w:tcPr>
          <w:p>
            <w:pPr>
              <w:spacing w:before="40" w:after="40" w:line="240" w:lineRule="exact"/>
              <w:jc w:val="lef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战略投资者或一般法人因配售新股成为前10名普通股股东的情况</w:t>
            </w:r>
          </w:p>
        </w:tc>
        <w:tc>
          <w:tcPr>
            <w:tcW w:w="7497" w:type="dxa"/>
            <w:gridSpan w:val="7"/>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lef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无</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142" w:type="dxa"/>
            <w:gridSpan w:val="2"/>
            <w:tcBorders>
              <w:top w:val="single" w:color="auto" w:sz="2" w:space="0"/>
              <w:left w:val="single" w:color="auto" w:sz="2" w:space="0"/>
              <w:bottom w:val="single" w:color="auto" w:sz="2" w:space="0"/>
              <w:right w:val="single" w:color="auto" w:sz="2" w:space="0"/>
            </w:tcBorders>
            <w:shd w:val="clear" w:color="auto" w:fill="D3D3D3"/>
            <w:vAlign w:val="center"/>
          </w:tcPr>
          <w:p>
            <w:pPr>
              <w:spacing w:before="40" w:after="40" w:line="240" w:lineRule="exact"/>
              <w:jc w:val="lef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上述股东关联关系或一致行动的说明</w:t>
            </w:r>
          </w:p>
        </w:tc>
        <w:tc>
          <w:tcPr>
            <w:tcW w:w="7497" w:type="dxa"/>
            <w:gridSpan w:val="7"/>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lef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截止2023年6月30日，中广核资本系控股股东中广核核技术一致行动人。公司未知其他前10名普通股股东之间是否存在关联关系或一致行动人的情形。</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142" w:type="dxa"/>
            <w:gridSpan w:val="2"/>
            <w:tcBorders>
              <w:top w:val="single" w:color="auto" w:sz="2" w:space="0"/>
              <w:left w:val="single" w:color="auto" w:sz="2" w:space="0"/>
              <w:bottom w:val="single" w:color="auto" w:sz="2" w:space="0"/>
              <w:right w:val="single" w:color="auto" w:sz="2" w:space="0"/>
            </w:tcBorders>
            <w:shd w:val="clear" w:color="auto" w:fill="D3D3D3"/>
            <w:vAlign w:val="center"/>
          </w:tcPr>
          <w:p>
            <w:pPr>
              <w:spacing w:before="40" w:after="40" w:line="240" w:lineRule="exact"/>
              <w:jc w:val="lef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上述股东涉及委托/受托表决权、放弃表决权情况的说明</w:t>
            </w:r>
          </w:p>
        </w:tc>
        <w:tc>
          <w:tcPr>
            <w:tcW w:w="7497" w:type="dxa"/>
            <w:gridSpan w:val="7"/>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lef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无</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142" w:type="dxa"/>
            <w:gridSpan w:val="2"/>
            <w:tcBorders>
              <w:top w:val="single" w:color="auto" w:sz="2" w:space="0"/>
              <w:left w:val="single" w:color="auto" w:sz="2" w:space="0"/>
              <w:bottom w:val="single" w:color="auto" w:sz="2" w:space="0"/>
              <w:right w:val="single" w:color="auto" w:sz="2" w:space="0"/>
            </w:tcBorders>
            <w:shd w:val="clear" w:color="auto" w:fill="D3D3D3"/>
            <w:vAlign w:val="center"/>
          </w:tcPr>
          <w:p>
            <w:pPr>
              <w:spacing w:before="40" w:after="40" w:line="240" w:lineRule="exact"/>
              <w:jc w:val="lef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前10名股东中存在回购专户的特别说明</w:t>
            </w:r>
          </w:p>
        </w:tc>
        <w:tc>
          <w:tcPr>
            <w:tcW w:w="7497" w:type="dxa"/>
            <w:gridSpan w:val="7"/>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lef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无</w:t>
            </w:r>
          </w:p>
        </w:tc>
      </w:tr>
    </w:tbl>
    <w:p>
      <w:pPr>
        <w:keepNext/>
        <w:keepLines/>
        <w:spacing w:before="300" w:after="300" w:line="280" w:lineRule="exact"/>
        <w:jc w:val="left"/>
        <w:outlineLvl w:val="2"/>
        <w:rPr>
          <w:rFonts w:ascii="宋体" w:hAnsi="宋体" w:eastAsia="宋体" w:cs="宋体"/>
          <w:b/>
          <w:bCs/>
          <w:sz w:val="21"/>
          <w:szCs w:val="21"/>
        </w:rPr>
      </w:pPr>
      <w:r>
        <w:rPr>
          <w:rFonts w:ascii="宋体" w:hAnsi="宋体" w:eastAsia="宋体" w:cs="宋体"/>
          <w:b/>
          <w:bCs/>
          <w:sz w:val="21"/>
          <w:szCs w:val="21"/>
        </w:rPr>
        <w:t>4、控股股东或实际控制人变更情况</w:t>
      </w:r>
      <w:bookmarkEnd w:id="5"/>
    </w:p>
    <w:p>
      <w:pPr>
        <w:spacing w:before="40" w:after="40" w:line="240" w:lineRule="exact"/>
        <w:jc w:val="left"/>
        <w:rPr>
          <w:rFonts w:ascii="宋体" w:hAnsi="宋体" w:eastAsia="宋体" w:cs="宋体"/>
          <w:sz w:val="21"/>
          <w:szCs w:val="21"/>
        </w:rPr>
      </w:pPr>
      <w:r>
        <w:rPr>
          <w:rFonts w:ascii="宋体" w:hAnsi="宋体" w:eastAsia="宋体" w:cs="宋体"/>
          <w:sz w:val="21"/>
          <w:szCs w:val="21"/>
        </w:rPr>
        <w:t>控股股东报告期内变更</w:t>
      </w:r>
    </w:p>
    <w:p>
      <w:pPr>
        <w:spacing w:before="40" w:after="40" w:line="240" w:lineRule="exact"/>
        <w:jc w:val="left"/>
        <w:rPr>
          <w:rFonts w:ascii="宋体" w:hAnsi="宋体" w:eastAsia="宋体" w:cs="宋体"/>
          <w:sz w:val="21"/>
          <w:szCs w:val="21"/>
        </w:rPr>
      </w:pPr>
      <w:r>
        <w:rPr>
          <w:rFonts w:ascii="宋体" w:hAnsi="宋体" w:eastAsia="宋体" w:cs="宋体"/>
          <w:sz w:val="21"/>
          <w:szCs w:val="21"/>
        </w:rPr>
        <w:t xml:space="preserve">□适用 </w:t>
      </w:r>
      <w:r>
        <w:rPr>
          <w:rFonts w:ascii="宋体" w:hAnsi="宋体" w:eastAsia="宋体" w:cs="宋体"/>
          <w:sz w:val="21"/>
          <w:szCs w:val="21"/>
        </w:rPr>
        <w:sym w:font="Wingdings 2" w:char="F052"/>
      </w:r>
      <w:r>
        <w:rPr>
          <w:rFonts w:ascii="宋体" w:hAnsi="宋体" w:eastAsia="宋体" w:cs="宋体"/>
          <w:sz w:val="21"/>
          <w:szCs w:val="21"/>
        </w:rPr>
        <w:t>不适用</w:t>
      </w:r>
    </w:p>
    <w:p>
      <w:pPr>
        <w:spacing w:before="40" w:after="40" w:line="240" w:lineRule="exact"/>
        <w:jc w:val="left"/>
        <w:rPr>
          <w:rFonts w:ascii="宋体" w:hAnsi="宋体" w:eastAsia="宋体" w:cs="宋体"/>
          <w:sz w:val="21"/>
          <w:szCs w:val="21"/>
        </w:rPr>
      </w:pPr>
      <w:r>
        <w:rPr>
          <w:rFonts w:ascii="宋体" w:hAnsi="宋体" w:eastAsia="宋体" w:cs="宋体"/>
          <w:sz w:val="21"/>
          <w:szCs w:val="21"/>
        </w:rPr>
        <w:t>公司报告期控股股东未发生变更。</w:t>
      </w:r>
    </w:p>
    <w:p>
      <w:pPr>
        <w:spacing w:before="100" w:after="100" w:line="240" w:lineRule="exact"/>
        <w:jc w:val="left"/>
        <w:rPr>
          <w:rFonts w:ascii="宋体" w:hAnsi="宋体" w:eastAsia="宋体" w:cs="宋体"/>
          <w:sz w:val="21"/>
          <w:szCs w:val="21"/>
        </w:rPr>
      </w:pPr>
      <w:r>
        <w:rPr>
          <w:rFonts w:ascii="宋体" w:hAnsi="宋体" w:eastAsia="宋体" w:cs="宋体"/>
          <w:sz w:val="21"/>
          <w:szCs w:val="21"/>
        </w:rPr>
        <w:t>实际控制人报告期内变更</w:t>
      </w:r>
    </w:p>
    <w:p>
      <w:pPr>
        <w:spacing w:before="40" w:after="40" w:line="240" w:lineRule="exact"/>
        <w:jc w:val="left"/>
        <w:rPr>
          <w:rFonts w:ascii="宋体" w:hAnsi="宋体" w:eastAsia="宋体" w:cs="宋体"/>
          <w:sz w:val="21"/>
          <w:szCs w:val="21"/>
        </w:rPr>
      </w:pPr>
      <w:r>
        <w:rPr>
          <w:rFonts w:ascii="宋体" w:hAnsi="宋体" w:eastAsia="宋体" w:cs="宋体"/>
          <w:sz w:val="21"/>
          <w:szCs w:val="21"/>
        </w:rPr>
        <w:t xml:space="preserve">□适用 </w:t>
      </w:r>
      <w:r>
        <w:rPr>
          <w:rFonts w:ascii="宋体" w:hAnsi="宋体" w:eastAsia="宋体" w:cs="宋体"/>
          <w:sz w:val="21"/>
          <w:szCs w:val="21"/>
        </w:rPr>
        <w:sym w:font="Wingdings 2" w:char="F052"/>
      </w:r>
      <w:r>
        <w:rPr>
          <w:rFonts w:ascii="宋体" w:hAnsi="宋体" w:eastAsia="宋体" w:cs="宋体"/>
          <w:sz w:val="21"/>
          <w:szCs w:val="21"/>
        </w:rPr>
        <w:t>不适用</w:t>
      </w:r>
    </w:p>
    <w:p>
      <w:pPr>
        <w:spacing w:before="40" w:after="40" w:line="240" w:lineRule="exact"/>
        <w:jc w:val="left"/>
        <w:rPr>
          <w:rFonts w:ascii="宋体" w:hAnsi="宋体" w:eastAsia="宋体" w:cs="宋体"/>
          <w:sz w:val="21"/>
          <w:szCs w:val="21"/>
        </w:rPr>
      </w:pPr>
      <w:r>
        <w:rPr>
          <w:rFonts w:ascii="宋体" w:hAnsi="宋体" w:eastAsia="宋体" w:cs="宋体"/>
          <w:sz w:val="21"/>
          <w:szCs w:val="21"/>
        </w:rPr>
        <w:t>公司报告期实际控制人未发生变更。</w:t>
      </w:r>
    </w:p>
    <w:p>
      <w:pPr>
        <w:keepNext/>
        <w:keepLines/>
        <w:spacing w:before="300" w:after="300" w:line="280" w:lineRule="exact"/>
        <w:jc w:val="left"/>
        <w:outlineLvl w:val="2"/>
        <w:rPr>
          <w:rFonts w:ascii="宋体" w:hAnsi="宋体" w:eastAsia="宋体" w:cs="宋体"/>
          <w:b/>
          <w:bCs/>
          <w:sz w:val="21"/>
          <w:szCs w:val="21"/>
        </w:rPr>
      </w:pPr>
      <w:bookmarkStart w:id="6" w:name="_Toc988895"/>
      <w:r>
        <w:rPr>
          <w:rFonts w:ascii="宋体" w:hAnsi="宋体" w:eastAsia="宋体" w:cs="宋体"/>
          <w:b/>
          <w:bCs/>
          <w:sz w:val="21"/>
          <w:szCs w:val="21"/>
        </w:rPr>
        <w:t>5、公司优先股股东总数及前10名优先股股东持股情况表</w:t>
      </w:r>
      <w:bookmarkEnd w:id="6"/>
    </w:p>
    <w:p>
      <w:pPr>
        <w:spacing w:before="40" w:after="40" w:line="240" w:lineRule="exact"/>
        <w:jc w:val="left"/>
        <w:rPr>
          <w:rFonts w:ascii="宋体" w:hAnsi="宋体" w:eastAsia="宋体" w:cs="宋体"/>
          <w:sz w:val="21"/>
          <w:szCs w:val="21"/>
        </w:rPr>
      </w:pPr>
      <w:r>
        <w:rPr>
          <w:rFonts w:ascii="宋体" w:hAnsi="宋体" w:eastAsia="宋体" w:cs="宋体"/>
          <w:sz w:val="21"/>
          <w:szCs w:val="21"/>
        </w:rPr>
        <w:t xml:space="preserve">□适用 </w:t>
      </w:r>
      <w:r>
        <w:rPr>
          <w:rFonts w:ascii="宋体" w:hAnsi="宋体" w:eastAsia="宋体" w:cs="宋体"/>
          <w:sz w:val="21"/>
          <w:szCs w:val="21"/>
        </w:rPr>
        <w:sym w:font="Wingdings 2" w:char="F052"/>
      </w:r>
      <w:r>
        <w:rPr>
          <w:rFonts w:ascii="宋体" w:hAnsi="宋体" w:eastAsia="宋体" w:cs="宋体"/>
          <w:sz w:val="21"/>
          <w:szCs w:val="21"/>
        </w:rPr>
        <w:t>不适用</w:t>
      </w:r>
    </w:p>
    <w:p>
      <w:pPr>
        <w:spacing w:before="0" w:after="0" w:line="240" w:lineRule="exact"/>
        <w:jc w:val="left"/>
        <w:rPr>
          <w:rFonts w:ascii="宋体" w:hAnsi="宋体" w:eastAsia="宋体" w:cs="宋体"/>
          <w:sz w:val="21"/>
          <w:szCs w:val="21"/>
        </w:rPr>
      </w:pPr>
      <w:r>
        <w:rPr>
          <w:rFonts w:ascii="宋体" w:hAnsi="宋体" w:eastAsia="宋体" w:cs="宋体"/>
          <w:sz w:val="21"/>
          <w:szCs w:val="21"/>
        </w:rPr>
        <w:t>公司报告期无优先股股东持股情况。</w:t>
      </w:r>
    </w:p>
    <w:p>
      <w:pPr>
        <w:keepNext/>
        <w:keepLines/>
        <w:spacing w:before="300" w:after="300" w:line="280" w:lineRule="exact"/>
        <w:jc w:val="left"/>
        <w:outlineLvl w:val="2"/>
        <w:rPr>
          <w:rFonts w:ascii="宋体" w:hAnsi="宋体" w:eastAsia="宋体" w:cs="宋体"/>
          <w:b/>
          <w:bCs/>
          <w:sz w:val="21"/>
          <w:szCs w:val="21"/>
        </w:rPr>
      </w:pPr>
      <w:bookmarkStart w:id="7" w:name="_Toc988896"/>
      <w:r>
        <w:rPr>
          <w:rFonts w:ascii="宋体" w:hAnsi="宋体" w:eastAsia="宋体" w:cs="宋体"/>
          <w:b/>
          <w:bCs/>
          <w:sz w:val="21"/>
          <w:szCs w:val="21"/>
        </w:rPr>
        <w:t>6、在半年度报告批准报出日存续的债券情况</w:t>
      </w:r>
      <w:bookmarkEnd w:id="7"/>
    </w:p>
    <w:p>
      <w:pPr>
        <w:spacing w:before="40" w:after="40" w:line="240" w:lineRule="exact"/>
        <w:jc w:val="left"/>
        <w:rPr>
          <w:rFonts w:ascii="宋体" w:hAnsi="宋体" w:eastAsia="宋体" w:cs="宋体"/>
          <w:sz w:val="21"/>
          <w:szCs w:val="21"/>
        </w:rPr>
      </w:pPr>
      <w:r>
        <w:rPr>
          <w:rFonts w:ascii="宋体" w:hAnsi="宋体" w:eastAsia="宋体" w:cs="宋体"/>
          <w:sz w:val="21"/>
          <w:szCs w:val="21"/>
        </w:rPr>
        <w:t xml:space="preserve">□适用 </w:t>
      </w:r>
      <w:r>
        <w:rPr>
          <w:rFonts w:ascii="宋体" w:hAnsi="宋体" w:eastAsia="宋体" w:cs="宋体"/>
          <w:sz w:val="21"/>
          <w:szCs w:val="21"/>
        </w:rPr>
        <w:sym w:font="Wingdings 2" w:char="F052"/>
      </w:r>
      <w:r>
        <w:rPr>
          <w:rFonts w:ascii="宋体" w:hAnsi="宋体" w:eastAsia="宋体" w:cs="宋体"/>
          <w:sz w:val="21"/>
          <w:szCs w:val="21"/>
        </w:rPr>
        <w:t>不适用</w:t>
      </w:r>
    </w:p>
    <w:p>
      <w:pPr>
        <w:keepNext/>
        <w:keepLines/>
        <w:spacing w:before="300" w:after="300" w:line="320" w:lineRule="exact"/>
        <w:jc w:val="left"/>
        <w:outlineLvl w:val="1"/>
        <w:rPr>
          <w:rFonts w:ascii="宋体" w:hAnsi="宋体" w:eastAsia="宋体" w:cs="宋体"/>
          <w:b/>
          <w:bCs/>
          <w:sz w:val="24"/>
          <w:szCs w:val="24"/>
        </w:rPr>
      </w:pPr>
      <w:bookmarkStart w:id="8" w:name="_Toc988897"/>
      <w:r>
        <w:rPr>
          <w:rFonts w:ascii="宋体" w:hAnsi="宋体" w:eastAsia="宋体" w:cs="宋体"/>
          <w:b/>
          <w:bCs/>
          <w:sz w:val="24"/>
          <w:szCs w:val="24"/>
        </w:rPr>
        <w:t>三、重要事项</w:t>
      </w:r>
      <w:bookmarkEnd w:id="8"/>
    </w:p>
    <w:p>
      <w:pPr>
        <w:pStyle w:val="2"/>
        <w:keepNext w:val="0"/>
        <w:keepLines w:val="0"/>
        <w:widowControl/>
        <w:suppressLineNumbers w:val="0"/>
        <w:spacing w:before="156" w:beforeAutospacing="0" w:after="156" w:afterAutospacing="0" w:line="360" w:lineRule="auto"/>
        <w:ind w:left="0" w:right="0"/>
        <w:jc w:val="both"/>
        <w:rPr>
          <w:rFonts w:hint="default" w:ascii="Times New Roman" w:hAnsi="Times New Roman" w:cs="Times New Roman"/>
          <w:sz w:val="21"/>
          <w:szCs w:val="21"/>
        </w:rPr>
      </w:pPr>
      <w:r>
        <w:rPr>
          <w:rFonts w:hint="eastAsia" w:ascii="宋体" w:hAnsi="宋体" w:eastAsia="宋体" w:cs="宋体"/>
          <w:sz w:val="21"/>
          <w:szCs w:val="21"/>
        </w:rPr>
        <w:t>报告期内，世界经济增长动能不足，全球贸易增速放缓，国内经济持续恢复发展的基础仍不稳固。公司面对市场困难与机遇，坚定推进“</w:t>
      </w:r>
      <w:r>
        <w:rPr>
          <w:rFonts w:hint="default" w:ascii="Times New Roman" w:hAnsi="Times New Roman" w:eastAsia="宋体" w:cs="Times New Roman"/>
          <w:sz w:val="21"/>
          <w:szCs w:val="21"/>
        </w:rPr>
        <w:t>A+</w:t>
      </w:r>
      <w:r>
        <w:rPr>
          <w:rFonts w:hint="eastAsia" w:ascii="宋体" w:hAnsi="宋体" w:eastAsia="宋体" w:cs="宋体"/>
          <w:sz w:val="21"/>
          <w:szCs w:val="21"/>
        </w:rPr>
        <w:t>”战略，以创新引领高质量发展，着力优化产业结构、提升科技创新能力、强化人才储备。</w:t>
      </w:r>
    </w:p>
    <w:p>
      <w:pPr>
        <w:pStyle w:val="2"/>
        <w:keepNext w:val="0"/>
        <w:keepLines w:val="0"/>
        <w:widowControl/>
        <w:suppressLineNumbers w:val="0"/>
        <w:spacing w:before="156" w:beforeAutospacing="0" w:after="156" w:afterAutospacing="0" w:line="360" w:lineRule="auto"/>
        <w:ind w:left="0" w:right="0"/>
        <w:jc w:val="both"/>
        <w:rPr>
          <w:rFonts w:hint="default" w:ascii="Times New Roman" w:hAnsi="Times New Roman" w:cs="Times New Roman"/>
          <w:sz w:val="21"/>
          <w:szCs w:val="21"/>
        </w:rPr>
      </w:pPr>
      <w:r>
        <w:rPr>
          <w:rFonts w:hint="eastAsia" w:ascii="宋体" w:hAnsi="宋体" w:eastAsia="宋体" w:cs="宋体"/>
          <w:sz w:val="21"/>
          <w:szCs w:val="21"/>
        </w:rPr>
        <w:t>报告期内，公司实现营业总收入</w:t>
      </w:r>
      <w:r>
        <w:rPr>
          <w:rFonts w:hint="default" w:ascii="Times New Roman" w:hAnsi="Times New Roman" w:eastAsia="宋体" w:cs="Times New Roman"/>
          <w:sz w:val="21"/>
          <w:szCs w:val="21"/>
        </w:rPr>
        <w:t>28.64</w:t>
      </w:r>
      <w:r>
        <w:rPr>
          <w:rFonts w:hint="eastAsia" w:ascii="宋体" w:hAnsi="宋体" w:eastAsia="宋体" w:cs="宋体"/>
          <w:sz w:val="21"/>
          <w:szCs w:val="21"/>
        </w:rPr>
        <w:t>亿元，归属于上市公司股东的净利润为</w:t>
      </w:r>
      <w:r>
        <w:rPr>
          <w:rFonts w:hint="default" w:ascii="Times New Roman" w:hAnsi="Times New Roman" w:eastAsia="宋体" w:cs="Times New Roman"/>
          <w:sz w:val="21"/>
          <w:szCs w:val="21"/>
        </w:rPr>
        <w:t>-1.05</w:t>
      </w:r>
      <w:r>
        <w:rPr>
          <w:rFonts w:hint="eastAsia" w:ascii="宋体" w:hAnsi="宋体" w:eastAsia="宋体" w:cs="宋体"/>
          <w:sz w:val="21"/>
          <w:szCs w:val="21"/>
        </w:rPr>
        <w:t>亿元。报告期内归属于上市公司股东的净利润亏损的主要原因是</w:t>
      </w:r>
      <w:r>
        <w:rPr>
          <w:rFonts w:hint="default" w:ascii="Times New Roman" w:hAnsi="Times New Roman" w:eastAsia="宋体" w:cs="Times New Roman"/>
          <w:sz w:val="21"/>
          <w:szCs w:val="21"/>
        </w:rPr>
        <w:t>2023</w:t>
      </w:r>
      <w:r>
        <w:rPr>
          <w:rFonts w:hint="eastAsia" w:ascii="宋体" w:hAnsi="宋体" w:eastAsia="宋体" w:cs="宋体"/>
          <w:sz w:val="21"/>
          <w:szCs w:val="21"/>
        </w:rPr>
        <w:t>年上半年，国际干散货航运市场处于低位运行状态，导致船舶租金下滑，远洋运输业务收入不及预期；另因国内经济恢复基础尚不稳固，市场需求不足、行业竞争加剧的影响，导致新材料业务售价下跌，利润空间收窄；加速器与辐照业务受下游客户业务增长放缓的影响，订单验收进度相对延缓。</w:t>
      </w:r>
    </w:p>
    <w:p>
      <w:pPr>
        <w:pStyle w:val="2"/>
        <w:keepNext w:val="0"/>
        <w:keepLines w:val="0"/>
        <w:widowControl/>
        <w:suppressLineNumbers w:val="0"/>
        <w:spacing w:before="156" w:beforeAutospacing="0" w:after="156" w:afterAutospacing="0" w:line="360" w:lineRule="auto"/>
        <w:ind w:left="0" w:right="0"/>
        <w:jc w:val="both"/>
        <w:rPr>
          <w:rFonts w:hint="default" w:ascii="Times New Roman" w:hAnsi="Times New Roman" w:cs="Times New Roman"/>
          <w:sz w:val="21"/>
          <w:szCs w:val="21"/>
        </w:rPr>
      </w:pPr>
      <w:r>
        <w:rPr>
          <w:rFonts w:hint="eastAsia" w:ascii="宋体" w:hAnsi="宋体" w:eastAsia="宋体" w:cs="宋体"/>
          <w:sz w:val="21"/>
          <w:szCs w:val="21"/>
        </w:rPr>
        <w:t>电子加速器研发与制造业务，公司全面提升加速器装备研发，加大对电子帘加速器的研发投入与新装备研发力度，与中科院近物所联合研发的“</w:t>
      </w:r>
      <w:r>
        <w:rPr>
          <w:rFonts w:hint="default" w:ascii="Times New Roman" w:hAnsi="Times New Roman" w:eastAsia="宋体" w:cs="Times New Roman"/>
          <w:sz w:val="21"/>
          <w:szCs w:val="21"/>
        </w:rPr>
        <w:t>120keV-520mA</w:t>
      </w:r>
      <w:r>
        <w:rPr>
          <w:rFonts w:hint="eastAsia" w:ascii="宋体" w:hAnsi="宋体" w:eastAsia="宋体" w:cs="宋体"/>
          <w:sz w:val="21"/>
          <w:szCs w:val="21"/>
        </w:rPr>
        <w:t>电子帘加速器”，在上半年通过专家鉴定，标志着我国首台大功率电子帘加速器正式完成验收，该项科技成果主要技术参数及性能基本达到同类产品国际先进技术水平，处于国内领先地位，填补了我国大功率电子帘加速器技术空白。公司完成关键核心部件固态电源首台工程样机验证；完成</w:t>
      </w:r>
      <w:r>
        <w:rPr>
          <w:rFonts w:hint="default" w:ascii="Times New Roman" w:hAnsi="Times New Roman" w:eastAsia="宋体" w:cs="Times New Roman"/>
          <w:sz w:val="21"/>
          <w:szCs w:val="21"/>
        </w:rPr>
        <w:t>DG</w:t>
      </w:r>
      <w:r>
        <w:rPr>
          <w:rFonts w:hint="eastAsia" w:ascii="宋体" w:hAnsi="宋体" w:eastAsia="宋体" w:cs="宋体"/>
          <w:sz w:val="21"/>
          <w:szCs w:val="21"/>
        </w:rPr>
        <w:t>立式</w:t>
      </w:r>
      <w:r>
        <w:rPr>
          <w:rFonts w:hint="default" w:ascii="Times New Roman" w:hAnsi="Times New Roman" w:eastAsia="宋体" w:cs="Times New Roman"/>
          <w:sz w:val="21"/>
          <w:szCs w:val="21"/>
        </w:rPr>
        <w:t>2.0MeV</w:t>
      </w:r>
      <w:r>
        <w:rPr>
          <w:rFonts w:hint="eastAsia" w:ascii="宋体" w:hAnsi="宋体" w:eastAsia="宋体" w:cs="宋体"/>
          <w:sz w:val="21"/>
          <w:szCs w:val="21"/>
        </w:rPr>
        <w:t>样机研发、生产，达到</w:t>
      </w:r>
      <w:r>
        <w:rPr>
          <w:rFonts w:hint="default" w:ascii="Times New Roman" w:hAnsi="Times New Roman" w:eastAsia="宋体" w:cs="Times New Roman"/>
          <w:sz w:val="21"/>
          <w:szCs w:val="21"/>
        </w:rPr>
        <w:t>2.0MeV/50mA</w:t>
      </w:r>
      <w:r>
        <w:rPr>
          <w:rFonts w:hint="eastAsia" w:ascii="宋体" w:hAnsi="宋体" w:eastAsia="宋体" w:cs="宋体"/>
          <w:sz w:val="21"/>
          <w:szCs w:val="21"/>
        </w:rPr>
        <w:t>和</w:t>
      </w:r>
      <w:r>
        <w:rPr>
          <w:rFonts w:hint="default" w:ascii="Times New Roman" w:hAnsi="Times New Roman" w:eastAsia="宋体" w:cs="Times New Roman"/>
          <w:sz w:val="21"/>
          <w:szCs w:val="21"/>
        </w:rPr>
        <w:t>1.5MeV/60mA</w:t>
      </w:r>
      <w:r>
        <w:rPr>
          <w:rFonts w:hint="eastAsia" w:ascii="宋体" w:hAnsi="宋体" w:eastAsia="宋体" w:cs="宋体"/>
          <w:sz w:val="21"/>
          <w:szCs w:val="21"/>
        </w:rPr>
        <w:t>双运行指标，并实现首台套市场推广。</w:t>
      </w:r>
      <w:r>
        <w:rPr>
          <w:rFonts w:hint="default" w:ascii="Times New Roman" w:hAnsi="Times New Roman" w:eastAsia="宋体" w:cs="Times New Roman"/>
          <w:sz w:val="21"/>
          <w:szCs w:val="21"/>
        </w:rPr>
        <w:t>2023</w:t>
      </w:r>
      <w:r>
        <w:rPr>
          <w:rFonts w:hint="eastAsia" w:ascii="宋体" w:hAnsi="宋体" w:eastAsia="宋体" w:cs="宋体"/>
          <w:sz w:val="21"/>
          <w:szCs w:val="21"/>
        </w:rPr>
        <w:t>年上半年，公司电子加速器实现新签订单（含海外销售）同比增长</w:t>
      </w:r>
      <w:r>
        <w:rPr>
          <w:rFonts w:hint="default" w:ascii="Times New Roman" w:hAnsi="Times New Roman" w:eastAsia="宋体" w:cs="Times New Roman"/>
          <w:sz w:val="21"/>
          <w:szCs w:val="21"/>
        </w:rPr>
        <w:t>19.35%</w:t>
      </w:r>
      <w:r>
        <w:rPr>
          <w:rFonts w:hint="eastAsia" w:ascii="宋体" w:hAnsi="宋体" w:eastAsia="宋体" w:cs="宋体"/>
          <w:sz w:val="21"/>
          <w:szCs w:val="21"/>
        </w:rPr>
        <w:t>，新产品实现零的突破，完成</w:t>
      </w:r>
      <w:r>
        <w:rPr>
          <w:rFonts w:hint="default" w:ascii="Times New Roman" w:hAnsi="Times New Roman" w:eastAsia="宋体" w:cs="Times New Roman"/>
          <w:sz w:val="21"/>
          <w:szCs w:val="21"/>
        </w:rPr>
        <w:t>3</w:t>
      </w:r>
      <w:r>
        <w:rPr>
          <w:rFonts w:hint="eastAsia" w:ascii="宋体" w:hAnsi="宋体" w:eastAsia="宋体" w:cs="宋体"/>
          <w:sz w:val="21"/>
          <w:szCs w:val="21"/>
        </w:rPr>
        <w:t>台销售订单的签署。</w:t>
      </w:r>
    </w:p>
    <w:p>
      <w:pPr>
        <w:pStyle w:val="2"/>
        <w:keepNext w:val="0"/>
        <w:keepLines w:val="0"/>
        <w:widowControl/>
        <w:suppressLineNumbers w:val="0"/>
        <w:spacing w:before="156" w:beforeAutospacing="0" w:after="156" w:afterAutospacing="0" w:line="360" w:lineRule="auto"/>
        <w:ind w:left="0" w:right="0"/>
        <w:jc w:val="both"/>
        <w:rPr>
          <w:rFonts w:hint="default" w:ascii="Times New Roman" w:hAnsi="Times New Roman" w:cs="Times New Roman"/>
          <w:sz w:val="21"/>
          <w:szCs w:val="21"/>
        </w:rPr>
      </w:pPr>
      <w:r>
        <w:rPr>
          <w:rFonts w:hint="eastAsia" w:ascii="宋体" w:hAnsi="宋体" w:eastAsia="宋体" w:cs="宋体"/>
          <w:sz w:val="21"/>
          <w:szCs w:val="21"/>
        </w:rPr>
        <w:t>辐照加工业务，公司稳步推进辐照站布点，上半年完成</w:t>
      </w:r>
      <w:r>
        <w:rPr>
          <w:rFonts w:hint="default" w:ascii="Times New Roman" w:hAnsi="Times New Roman" w:eastAsia="宋体" w:cs="Times New Roman"/>
          <w:sz w:val="21"/>
          <w:szCs w:val="21"/>
        </w:rPr>
        <w:t>2</w:t>
      </w:r>
      <w:r>
        <w:rPr>
          <w:rFonts w:hint="eastAsia" w:ascii="宋体" w:hAnsi="宋体" w:eastAsia="宋体" w:cs="宋体"/>
          <w:sz w:val="21"/>
          <w:szCs w:val="21"/>
        </w:rPr>
        <w:t>个新辐照应用项目的投资决策和</w:t>
      </w:r>
      <w:r>
        <w:rPr>
          <w:rFonts w:hint="default" w:ascii="Times New Roman" w:hAnsi="Times New Roman" w:eastAsia="宋体" w:cs="Times New Roman"/>
          <w:sz w:val="21"/>
          <w:szCs w:val="21"/>
        </w:rPr>
        <w:t>5</w:t>
      </w:r>
      <w:r>
        <w:rPr>
          <w:rFonts w:hint="eastAsia" w:ascii="宋体" w:hAnsi="宋体" w:eastAsia="宋体" w:cs="宋体"/>
          <w:sz w:val="21"/>
          <w:szCs w:val="21"/>
        </w:rPr>
        <w:t>个项目的立项审批，业务由长三角地区逐步向西北、华北地区延伸，并稳步推进西南、华中等区域布点。</w:t>
      </w:r>
      <w:r>
        <w:rPr>
          <w:rFonts w:hint="default" w:ascii="Times New Roman" w:hAnsi="Times New Roman" w:eastAsia="宋体" w:cs="Times New Roman"/>
          <w:sz w:val="21"/>
          <w:szCs w:val="21"/>
        </w:rPr>
        <w:t>2023</w:t>
      </w:r>
      <w:r>
        <w:rPr>
          <w:rFonts w:hint="eastAsia" w:ascii="宋体" w:hAnsi="宋体" w:eastAsia="宋体" w:cs="宋体"/>
          <w:sz w:val="21"/>
          <w:szCs w:val="21"/>
        </w:rPr>
        <w:t>年</w:t>
      </w:r>
      <w:r>
        <w:rPr>
          <w:rFonts w:hint="default" w:ascii="Times New Roman" w:hAnsi="Times New Roman" w:eastAsia="宋体" w:cs="Times New Roman"/>
          <w:sz w:val="21"/>
          <w:szCs w:val="21"/>
        </w:rPr>
        <w:t>6</w:t>
      </w:r>
      <w:r>
        <w:rPr>
          <w:rFonts w:hint="eastAsia" w:ascii="宋体" w:hAnsi="宋体" w:eastAsia="宋体" w:cs="宋体"/>
          <w:sz w:val="21"/>
          <w:szCs w:val="21"/>
        </w:rPr>
        <w:t>月底前，已完成上海青浦项目投运，进一步提升公司在长三角地区的业务影响力；同期在建或拟建的辐照站项目有</w:t>
      </w:r>
      <w:r>
        <w:rPr>
          <w:rFonts w:hint="default" w:ascii="Times New Roman" w:hAnsi="Times New Roman" w:eastAsia="宋体" w:cs="Times New Roman"/>
          <w:sz w:val="21"/>
          <w:szCs w:val="21"/>
        </w:rPr>
        <w:t>4</w:t>
      </w:r>
      <w:r>
        <w:rPr>
          <w:rFonts w:hint="eastAsia" w:ascii="宋体" w:hAnsi="宋体" w:eastAsia="宋体" w:cs="宋体"/>
          <w:sz w:val="21"/>
          <w:szCs w:val="21"/>
        </w:rPr>
        <w:t>个，公司在辐照业务领域的市场规模预计将进一步扩大，并在全国初步形成辐照加工的网络化布局。</w:t>
      </w:r>
    </w:p>
    <w:p>
      <w:pPr>
        <w:pStyle w:val="2"/>
        <w:keepNext w:val="0"/>
        <w:keepLines w:val="0"/>
        <w:widowControl/>
        <w:suppressLineNumbers w:val="0"/>
        <w:spacing w:before="156" w:beforeAutospacing="0" w:after="156" w:afterAutospacing="0" w:line="360" w:lineRule="auto"/>
        <w:ind w:left="0" w:right="0"/>
        <w:jc w:val="both"/>
        <w:rPr>
          <w:rFonts w:hint="default" w:ascii="Times New Roman" w:hAnsi="Times New Roman" w:cs="Times New Roman"/>
          <w:sz w:val="21"/>
          <w:szCs w:val="21"/>
        </w:rPr>
      </w:pPr>
      <w:r>
        <w:rPr>
          <w:rFonts w:hint="eastAsia" w:ascii="宋体" w:hAnsi="宋体" w:eastAsia="宋体" w:cs="宋体"/>
          <w:sz w:val="21"/>
          <w:szCs w:val="21"/>
        </w:rPr>
        <w:t>电子束处理难降解污染物业务，公司将</w:t>
      </w:r>
      <w:r>
        <w:rPr>
          <w:rFonts w:hint="default" w:ascii="Times New Roman" w:hAnsi="Times New Roman" w:eastAsia="宋体" w:cs="Times New Roman"/>
          <w:sz w:val="21"/>
          <w:szCs w:val="21"/>
        </w:rPr>
        <w:t>2022</w:t>
      </w:r>
      <w:r>
        <w:rPr>
          <w:rFonts w:hint="eastAsia" w:ascii="宋体" w:hAnsi="宋体" w:eastAsia="宋体" w:cs="宋体"/>
          <w:sz w:val="21"/>
          <w:szCs w:val="21"/>
        </w:rPr>
        <w:t>年作为电子束处理难降解污染物技术示范项目的开工建设年，实现十个应用领域十多个示范项目全部开工。至</w:t>
      </w:r>
      <w:r>
        <w:rPr>
          <w:rFonts w:hint="default" w:ascii="Times New Roman" w:hAnsi="Times New Roman" w:eastAsia="宋体" w:cs="Times New Roman"/>
          <w:sz w:val="21"/>
          <w:szCs w:val="21"/>
        </w:rPr>
        <w:t>2023</w:t>
      </w:r>
      <w:r>
        <w:rPr>
          <w:rFonts w:hint="eastAsia" w:ascii="宋体" w:hAnsi="宋体" w:eastAsia="宋体" w:cs="宋体"/>
          <w:sz w:val="21"/>
          <w:szCs w:val="21"/>
        </w:rPr>
        <w:t>年上半年，印染废水示范项目、化工园区示范项目、垃圾渗滤液全量化示范项目等均已建成并进入试运行阶段，处理效果均已实现达标，运行成本优于同类传统工艺，为后续的应用推广和业务发展夯实了基础。从业务发展情况看，上半年新签合同额保持快速增长趋势，将为公司发展拓展新的广阔空间。</w:t>
      </w:r>
    </w:p>
    <w:p>
      <w:pPr>
        <w:pStyle w:val="2"/>
        <w:keepNext w:val="0"/>
        <w:keepLines w:val="0"/>
        <w:widowControl/>
        <w:suppressLineNumbers w:val="0"/>
        <w:spacing w:before="156" w:beforeAutospacing="0" w:after="156" w:afterAutospacing="0" w:line="360" w:lineRule="auto"/>
        <w:ind w:left="0" w:right="0"/>
        <w:jc w:val="both"/>
        <w:rPr>
          <w:rFonts w:hint="default" w:ascii="Times New Roman" w:hAnsi="Times New Roman" w:cs="Times New Roman"/>
          <w:sz w:val="21"/>
          <w:szCs w:val="21"/>
        </w:rPr>
      </w:pPr>
      <w:r>
        <w:rPr>
          <w:rFonts w:hint="eastAsia" w:ascii="宋体" w:hAnsi="宋体" w:eastAsia="宋体" w:cs="宋体"/>
          <w:sz w:val="21"/>
          <w:szCs w:val="21"/>
        </w:rPr>
        <w:t>新材料业务，公司新材料业务领域已在线缆高分子材料的基础上，向核电装备、特种改性材料、复合材料、发泡材料、医用材料、生物可降解材料等前沿领域进军，主要产品有电线电缆材料、光通信材料、弹性体、工程塑料、生物可降解材料等，下游应用覆盖汽车、电子电器、能源、电力、建筑、光通讯、轨道交通、海工装备、航空航天、核电及新能源等领域。上半年公司在生物可降解、</w:t>
      </w:r>
      <w:r>
        <w:rPr>
          <w:rFonts w:hint="default" w:ascii="Times New Roman" w:hAnsi="Times New Roman" w:eastAsia="宋体" w:cs="Times New Roman"/>
          <w:sz w:val="21"/>
          <w:szCs w:val="21"/>
        </w:rPr>
        <w:t>PE</w:t>
      </w:r>
      <w:r>
        <w:rPr>
          <w:rFonts w:hint="eastAsia" w:ascii="宋体" w:hAnsi="宋体" w:eastAsia="宋体" w:cs="宋体"/>
          <w:sz w:val="21"/>
          <w:szCs w:val="21"/>
        </w:rPr>
        <w:t>护套料、</w:t>
      </w:r>
      <w:r>
        <w:rPr>
          <w:rFonts w:hint="default" w:ascii="Times New Roman" w:hAnsi="Times New Roman" w:eastAsia="宋体" w:cs="Times New Roman"/>
          <w:sz w:val="21"/>
          <w:szCs w:val="21"/>
        </w:rPr>
        <w:t>PBT</w:t>
      </w:r>
      <w:r>
        <w:rPr>
          <w:rFonts w:hint="eastAsia" w:ascii="宋体" w:hAnsi="宋体" w:eastAsia="宋体" w:cs="宋体"/>
          <w:sz w:val="21"/>
          <w:szCs w:val="21"/>
        </w:rPr>
        <w:t>、</w:t>
      </w:r>
      <w:r>
        <w:rPr>
          <w:rFonts w:hint="default" w:ascii="Times New Roman" w:hAnsi="Times New Roman" w:eastAsia="宋体" w:cs="Times New Roman"/>
          <w:sz w:val="21"/>
          <w:szCs w:val="21"/>
        </w:rPr>
        <w:t>90</w:t>
      </w:r>
      <w:r>
        <w:rPr>
          <w:rFonts w:hint="eastAsia" w:ascii="宋体" w:hAnsi="宋体" w:eastAsia="宋体" w:cs="宋体"/>
          <w:sz w:val="21"/>
          <w:szCs w:val="21"/>
        </w:rPr>
        <w:t>℃特种阻燃护层料等新品领域的销售达到</w:t>
      </w:r>
      <w:r>
        <w:rPr>
          <w:rFonts w:hint="default" w:ascii="Times New Roman" w:hAnsi="Times New Roman" w:eastAsia="宋体" w:cs="Times New Roman"/>
          <w:sz w:val="21"/>
          <w:szCs w:val="21"/>
        </w:rPr>
        <w:t>1.2</w:t>
      </w:r>
      <w:r>
        <w:rPr>
          <w:rFonts w:hint="eastAsia" w:ascii="宋体" w:hAnsi="宋体" w:eastAsia="宋体" w:cs="宋体"/>
          <w:sz w:val="21"/>
          <w:szCs w:val="21"/>
        </w:rPr>
        <w:t>亿元，在改性塑料的“三新”增量市场实现新品销量</w:t>
      </w:r>
      <w:r>
        <w:rPr>
          <w:rFonts w:hint="default" w:ascii="Times New Roman" w:hAnsi="Times New Roman" w:eastAsia="宋体" w:cs="Times New Roman"/>
          <w:sz w:val="21"/>
          <w:szCs w:val="21"/>
        </w:rPr>
        <w:t>1.23</w:t>
      </w:r>
      <w:r>
        <w:rPr>
          <w:rFonts w:hint="eastAsia" w:ascii="宋体" w:hAnsi="宋体" w:eastAsia="宋体" w:cs="宋体"/>
          <w:sz w:val="21"/>
          <w:szCs w:val="21"/>
        </w:rPr>
        <w:t>万吨，预算完成率</w:t>
      </w:r>
      <w:r>
        <w:rPr>
          <w:rFonts w:hint="default" w:ascii="Times New Roman" w:hAnsi="Times New Roman" w:eastAsia="宋体" w:cs="Times New Roman"/>
          <w:sz w:val="21"/>
          <w:szCs w:val="21"/>
        </w:rPr>
        <w:t>124%</w:t>
      </w:r>
      <w:r>
        <w:rPr>
          <w:rFonts w:hint="eastAsia" w:ascii="宋体" w:hAnsi="宋体" w:eastAsia="宋体" w:cs="宋体"/>
          <w:sz w:val="21"/>
          <w:szCs w:val="21"/>
        </w:rPr>
        <w:t>，面对市场需求不足的情况，改性塑料业务的市场份额仍然实现了与上年基本持平；并在</w:t>
      </w:r>
      <w:r>
        <w:rPr>
          <w:rFonts w:hint="default" w:ascii="Times New Roman" w:hAnsi="Times New Roman" w:eastAsia="宋体" w:cs="Times New Roman"/>
          <w:sz w:val="21"/>
          <w:szCs w:val="21"/>
        </w:rPr>
        <w:t>5G+</w:t>
      </w:r>
      <w:r>
        <w:rPr>
          <w:rFonts w:hint="eastAsia" w:ascii="宋体" w:hAnsi="宋体" w:eastAsia="宋体" w:cs="宋体"/>
          <w:sz w:val="21"/>
          <w:szCs w:val="21"/>
        </w:rPr>
        <w:t>智能行业、安防产品、卫浴产品、新能源和网联汽车行业、医疗健康行业中推进科研成果转化，加快推进新品的批量销售。目前公司在线缆料领域稳居行业前列，其中光通信材料居国内龙头地位，汽车密封条、建筑用防水卷材、航天航空用大飞机料等材料处于国内领先水平。</w:t>
      </w:r>
    </w:p>
    <w:p>
      <w:pPr>
        <w:pStyle w:val="2"/>
        <w:keepNext w:val="0"/>
        <w:keepLines w:val="0"/>
        <w:widowControl/>
        <w:suppressLineNumbers w:val="0"/>
        <w:spacing w:before="156" w:beforeAutospacing="0" w:after="156" w:afterAutospacing="0" w:line="360" w:lineRule="auto"/>
        <w:ind w:left="0" w:right="0"/>
        <w:jc w:val="both"/>
        <w:rPr>
          <w:rFonts w:hint="default" w:ascii="Times New Roman" w:hAnsi="Times New Roman" w:cs="Times New Roman"/>
          <w:sz w:val="21"/>
          <w:szCs w:val="21"/>
        </w:rPr>
      </w:pPr>
      <w:r>
        <w:rPr>
          <w:rFonts w:hint="eastAsia" w:ascii="宋体" w:hAnsi="宋体" w:eastAsia="宋体" w:cs="宋体"/>
          <w:sz w:val="21"/>
          <w:szCs w:val="21"/>
        </w:rPr>
        <w:t>医疗健康业务，公司在医疗健康领域初步形成以“医疗装备</w:t>
      </w:r>
      <w:r>
        <w:rPr>
          <w:rFonts w:hint="default" w:ascii="Times New Roman" w:hAnsi="Times New Roman" w:eastAsia="宋体" w:cs="Times New Roman"/>
          <w:sz w:val="21"/>
          <w:szCs w:val="21"/>
        </w:rPr>
        <w:t>+</w:t>
      </w:r>
      <w:r>
        <w:rPr>
          <w:rFonts w:hint="eastAsia" w:ascii="宋体" w:hAnsi="宋体" w:eastAsia="宋体" w:cs="宋体"/>
          <w:sz w:val="21"/>
          <w:szCs w:val="21"/>
        </w:rPr>
        <w:t>医用同位素”为核心的整体解决方案，目前正在按计划稳步推进生产准备工作，包括厂房建设、设备调试安装、技术预研等。质子业务方面，加强与</w:t>
      </w:r>
      <w:r>
        <w:rPr>
          <w:rFonts w:hint="default" w:ascii="Times New Roman" w:hAnsi="Times New Roman" w:eastAsia="宋体" w:cs="Times New Roman"/>
          <w:sz w:val="21"/>
          <w:szCs w:val="21"/>
        </w:rPr>
        <w:t>IBA</w:t>
      </w:r>
      <w:r>
        <w:rPr>
          <w:rFonts w:hint="eastAsia" w:ascii="宋体" w:hAnsi="宋体" w:eastAsia="宋体" w:cs="宋体"/>
          <w:sz w:val="21"/>
          <w:szCs w:val="21"/>
        </w:rPr>
        <w:t>在医疗装备领域的业务合作，加快质子治疗高端技术的引消吸创，为公司医疗健康业务发展奠定坚实基础。公司作为医疗健康产业的新进者，已全面启动质子肿瘤设备自主化、国产化研发工作；上半年积极推进华西项目设备制造工作，项目进度符合计划要求；深入参与</w:t>
      </w:r>
      <w:r>
        <w:rPr>
          <w:rFonts w:hint="default" w:ascii="Times New Roman" w:hAnsi="Times New Roman" w:eastAsia="宋体" w:cs="Times New Roman"/>
          <w:sz w:val="21"/>
          <w:szCs w:val="21"/>
        </w:rPr>
        <w:t>IBA</w:t>
      </w:r>
      <w:r>
        <w:rPr>
          <w:rFonts w:hint="eastAsia" w:ascii="宋体" w:hAnsi="宋体" w:eastAsia="宋体" w:cs="宋体"/>
          <w:sz w:val="21"/>
          <w:szCs w:val="21"/>
        </w:rPr>
        <w:t>合作项目安装调试及运维，开展</w:t>
      </w:r>
      <w:r>
        <w:rPr>
          <w:rFonts w:hint="default" w:ascii="Times New Roman" w:hAnsi="Times New Roman" w:eastAsia="宋体" w:cs="Times New Roman"/>
          <w:sz w:val="21"/>
          <w:szCs w:val="21"/>
        </w:rPr>
        <w:t>NMPA</w:t>
      </w:r>
      <w:r>
        <w:rPr>
          <w:rFonts w:hint="eastAsia" w:ascii="宋体" w:hAnsi="宋体" w:eastAsia="宋体" w:cs="宋体"/>
          <w:sz w:val="21"/>
          <w:szCs w:val="21"/>
        </w:rPr>
        <w:t>注册，逐步掌握安装质子诊疗设备调试运维能力和</w:t>
      </w:r>
      <w:r>
        <w:rPr>
          <w:rFonts w:hint="default" w:ascii="Times New Roman" w:hAnsi="Times New Roman" w:eastAsia="宋体" w:cs="Times New Roman"/>
          <w:sz w:val="21"/>
          <w:szCs w:val="21"/>
        </w:rPr>
        <w:t>NMPA</w:t>
      </w:r>
      <w:r>
        <w:rPr>
          <w:rFonts w:hint="eastAsia" w:ascii="宋体" w:hAnsi="宋体" w:eastAsia="宋体" w:cs="宋体"/>
          <w:sz w:val="21"/>
          <w:szCs w:val="21"/>
        </w:rPr>
        <w:t>等注册法规流程。同位素业务方面，公司与九院二所等</w:t>
      </w:r>
      <w:r>
        <w:rPr>
          <w:rFonts w:hint="default" w:ascii="Times New Roman" w:hAnsi="Times New Roman" w:eastAsia="宋体" w:cs="Times New Roman"/>
          <w:sz w:val="21"/>
          <w:szCs w:val="21"/>
        </w:rPr>
        <w:t>4</w:t>
      </w:r>
      <w:r>
        <w:rPr>
          <w:rFonts w:hint="eastAsia" w:ascii="宋体" w:hAnsi="宋体" w:eastAsia="宋体" w:cs="宋体"/>
          <w:sz w:val="21"/>
          <w:szCs w:val="21"/>
        </w:rPr>
        <w:t>家单位建立合作关系，上半年完成首单同位素销售交付并取得销售收入，为市场的后续推广奠定良好基础。公司上半年在同位素业务领域积极拓展客户，并积极跟进客户动向，随时准备投标工作。</w:t>
      </w:r>
    </w:p>
    <w:p>
      <w:pPr>
        <w:pStyle w:val="2"/>
        <w:keepNext w:val="0"/>
        <w:keepLines w:val="0"/>
        <w:widowControl/>
        <w:suppressLineNumbers w:val="0"/>
        <w:spacing w:before="156" w:beforeAutospacing="0" w:after="156" w:afterAutospacing="0" w:line="360" w:lineRule="auto"/>
        <w:ind w:left="0" w:right="0"/>
        <w:jc w:val="both"/>
        <w:rPr>
          <w:rFonts w:hint="eastAsia" w:ascii="宋体" w:hAnsi="宋体" w:eastAsia="宋体" w:cs="宋体"/>
          <w:sz w:val="21"/>
          <w:szCs w:val="21"/>
        </w:rPr>
      </w:pPr>
      <w:r>
        <w:rPr>
          <w:rFonts w:hint="eastAsia" w:ascii="宋体" w:hAnsi="宋体" w:eastAsia="宋体" w:cs="宋体"/>
          <w:sz w:val="21"/>
          <w:szCs w:val="21"/>
        </w:rPr>
        <w:t>另外公司正在稳步优化重大资产重组前的远洋运输、房地产开发、工程承包、远洋渔业和进出口贸易等业务。</w:t>
      </w:r>
      <w:r>
        <w:rPr>
          <w:rFonts w:hint="default" w:ascii="Times New Roman" w:hAnsi="Times New Roman" w:eastAsia="宋体" w:cs="Times New Roman"/>
          <w:sz w:val="21"/>
          <w:szCs w:val="21"/>
        </w:rPr>
        <w:t>2023</w:t>
      </w:r>
      <w:r>
        <w:rPr>
          <w:rFonts w:hint="eastAsia" w:ascii="宋体" w:hAnsi="宋体" w:eastAsia="宋体" w:cs="宋体"/>
          <w:sz w:val="21"/>
          <w:szCs w:val="21"/>
        </w:rPr>
        <w:t>年上半年公司已注销新加坡华商船务有限公司、新加坡华云船务有限公司</w:t>
      </w:r>
      <w:r>
        <w:rPr>
          <w:rFonts w:hint="eastAsia" w:ascii="宋体" w:hAnsi="宋体" w:cs="宋体"/>
          <w:sz w:val="21"/>
          <w:szCs w:val="21"/>
          <w:lang w:eastAsia="zh-CN"/>
        </w:rPr>
        <w:t>、大连群鹏劳务派遣有限公司</w:t>
      </w:r>
      <w:bookmarkStart w:id="9" w:name="_GoBack"/>
      <w:bookmarkEnd w:id="9"/>
      <w:r>
        <w:rPr>
          <w:rFonts w:hint="eastAsia" w:ascii="宋体" w:hAnsi="宋体" w:eastAsia="宋体" w:cs="宋体"/>
          <w:sz w:val="21"/>
          <w:szCs w:val="21"/>
        </w:rPr>
        <w:t>；已经董事会批准正在处置的有北京金时代置业有限公司、新加坡华凤船务有限公司、新加坡华连船务有限公司（船舶已出售）、新加坡华鹰船务有限公司。公司将按照分阶段披露的要求及时履行信息披露义务，请投资者关注。</w:t>
      </w:r>
    </w:p>
    <w:p>
      <w:pPr>
        <w:pStyle w:val="2"/>
        <w:keepNext w:val="0"/>
        <w:keepLines w:val="0"/>
        <w:widowControl/>
        <w:suppressLineNumbers w:val="0"/>
        <w:spacing w:before="156" w:beforeAutospacing="0" w:after="156" w:afterAutospacing="0" w:line="360" w:lineRule="auto"/>
        <w:ind w:left="0" w:right="0"/>
        <w:jc w:val="both"/>
        <w:rPr>
          <w:rFonts w:hint="eastAsia" w:ascii="宋体" w:hAnsi="宋体" w:eastAsia="宋体" w:cs="宋体"/>
          <w:sz w:val="21"/>
          <w:szCs w:val="21"/>
        </w:rPr>
      </w:pPr>
    </w:p>
    <w:p>
      <w:pPr>
        <w:snapToGrid w:val="0"/>
        <w:spacing w:line="360" w:lineRule="auto"/>
        <w:ind w:firstLine="480" w:firstLineChars="200"/>
        <w:jc w:val="right"/>
        <w:rPr>
          <w:b/>
          <w:sz w:val="24"/>
          <w:szCs w:val="24"/>
        </w:rPr>
      </w:pPr>
      <w:r>
        <w:rPr>
          <w:b/>
          <w:sz w:val="24"/>
          <w:szCs w:val="24"/>
        </w:rPr>
        <w:t>中广核核技术发展股份有限公司</w:t>
      </w:r>
    </w:p>
    <w:p>
      <w:pPr>
        <w:snapToGrid w:val="0"/>
        <w:spacing w:line="360" w:lineRule="auto"/>
        <w:ind w:firstLine="480" w:firstLineChars="200"/>
        <w:jc w:val="right"/>
        <w:rPr>
          <w:b/>
          <w:sz w:val="24"/>
          <w:szCs w:val="24"/>
        </w:rPr>
      </w:pPr>
      <w:r>
        <w:rPr>
          <w:b/>
          <w:sz w:val="24"/>
          <w:szCs w:val="24"/>
        </w:rPr>
        <w:t>董事会</w:t>
      </w:r>
    </w:p>
    <w:p>
      <w:pPr>
        <w:snapToGrid w:val="0"/>
        <w:spacing w:line="360" w:lineRule="auto"/>
        <w:ind w:firstLine="480" w:firstLineChars="200"/>
        <w:jc w:val="right"/>
        <w:rPr>
          <w:sz w:val="24"/>
          <w:szCs w:val="24"/>
        </w:rPr>
      </w:pPr>
      <w:r>
        <w:rPr>
          <w:b/>
          <w:sz w:val="24"/>
          <w:szCs w:val="24"/>
        </w:rPr>
        <w:t>2023年</w:t>
      </w:r>
      <w:r>
        <w:rPr>
          <w:rFonts w:hint="eastAsia"/>
          <w:b/>
          <w:sz w:val="24"/>
          <w:szCs w:val="24"/>
        </w:rPr>
        <w:t>8</w:t>
      </w:r>
      <w:r>
        <w:rPr>
          <w:b/>
          <w:sz w:val="24"/>
          <w:szCs w:val="24"/>
        </w:rPr>
        <w:t>月</w:t>
      </w:r>
      <w:r>
        <w:rPr>
          <w:rFonts w:hint="eastAsia"/>
          <w:b/>
          <w:sz w:val="24"/>
          <w:szCs w:val="24"/>
        </w:rPr>
        <w:t>2</w:t>
      </w:r>
      <w:r>
        <w:rPr>
          <w:rFonts w:hint="eastAsia"/>
          <w:b/>
          <w:sz w:val="24"/>
          <w:szCs w:val="24"/>
          <w:lang w:val="en-US" w:eastAsia="zh-CN"/>
        </w:rPr>
        <w:t>6</w:t>
      </w:r>
      <w:r>
        <w:rPr>
          <w:b/>
          <w:sz w:val="24"/>
          <w:szCs w:val="24"/>
        </w:rPr>
        <w:t>日</w:t>
      </w:r>
    </w:p>
    <w:p>
      <w:pPr>
        <w:pStyle w:val="2"/>
        <w:keepNext w:val="0"/>
        <w:keepLines w:val="0"/>
        <w:widowControl/>
        <w:suppressLineNumbers w:val="0"/>
        <w:spacing w:before="156" w:beforeAutospacing="0" w:after="156" w:afterAutospacing="0" w:line="360" w:lineRule="auto"/>
        <w:ind w:left="0" w:right="0"/>
        <w:jc w:val="both"/>
        <w:rPr>
          <w:rFonts w:hint="default" w:ascii="宋体" w:hAnsi="宋体" w:eastAsia="宋体" w:cs="宋体"/>
          <w:sz w:val="21"/>
          <w:szCs w:val="21"/>
        </w:rPr>
      </w:pPr>
    </w:p>
    <w:sectPr>
      <w:headerReference r:id="rId3" w:type="default"/>
      <w:footerReference r:id="rId4" w:type="default"/>
      <w:pgSz w:w="11905" w:h="16840"/>
      <w:pgMar w:top="1440" w:right="1134" w:bottom="1440" w:left="1134" w:header="850" w:footer="992" w:gutter="0"/>
      <w:cols w:space="720"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Wingdings 2">
    <w:panose1 w:val="05020102010507070707"/>
    <w:charset w:val="00"/>
    <w:family w:val="auto"/>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right"/>
    </w:pPr>
    <w:r>
      <w:rPr>
        <w:rFonts w:ascii="宋体" w:eastAsia="宋体"/>
        <w:sz w:val="18"/>
        <w:szCs w:val="18"/>
      </w:rPr>
      <w:fldChar w:fldCharType="begin"/>
    </w:r>
    <w:r>
      <w:rPr>
        <w:rFonts w:ascii="宋体" w:eastAsia="宋体"/>
        <w:sz w:val="18"/>
        <w:szCs w:val="18"/>
      </w:rPr>
      <w:instrText xml:space="preserve">PAGE   \* MERGEFORMAT</w:instrText>
    </w:r>
    <w:r>
      <w:rPr>
        <w:rFonts w:ascii="宋体" w:eastAsia="宋体"/>
        <w:sz w:val="18"/>
        <w:szCs w:val="18"/>
      </w:rPr>
      <w:fldChar w:fldCharType="separate"/>
    </w:r>
    <w:r>
      <w:rPr>
        <w:rFonts w:ascii="宋体" w:eastAsia="宋体"/>
        <w:sz w:val="18"/>
        <w:szCs w:val="18"/>
      </w:rPr>
      <w:t>1</w:t>
    </w:r>
    <w:r>
      <w:rPr>
        <w:rFonts w:ascii="宋体" w:eastAsia="宋体"/>
        <w:sz w:val="18"/>
        <w:szCs w:val="18"/>
      </w:rP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Bdr>
        <w:bottom w:val="single" w:color="auto" w:sz="6" w:space="1"/>
      </w:pBdr>
      <w:jc w:val="right"/>
    </w:pPr>
    <w:r>
      <w:rPr>
        <w:rFonts w:ascii="宋体" w:eastAsia="宋体"/>
        <w:sz w:val="18"/>
        <w:szCs w:val="18"/>
      </w:rPr>
      <w:t>中广核核技术发展股份有限公司2023年半年度报告摘要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documentProtection w:enforcement="0"/>
  <w:compat>
    <w:doNotExpandShiftReturn/>
    <w:useFELayout/>
    <w:compatSetting w:name="compatibilityMode" w:uri="http://schemas.microsoft.com/office/word" w:val="14"/>
  </w:compat>
  <w:rsids>
    <w:rsidRoot w:val="00000000"/>
    <w:rsid w:val="029929AC"/>
    <w:rsid w:val="099B274B"/>
    <w:rsid w:val="771E4F11"/>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sz w:val="21"/>
      <w:szCs w:val="22"/>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otalTime>0</TotalTime>
  <ScaleCrop>false</ScaleCrop>
  <LinksUpToDate>false</LinksUpToDate>
  <Application>WPS Office_11.8.2.10321_F1E327BC-269C-435d-A152-05C5408002CA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2023-08-23T06:13:00Z</dcterms:created>
  <dc:creator>P194919</dc:creator>
  <cp:lastModifiedBy>牟海涛</cp:lastModifiedBy>
  <dcterms:modified xsi:type="dcterms:W3CDTF">2023-08-25T04:15:17Z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2052-11.8.2.10321</vt:lpwstr>
  </property>
</Properties>
</file>