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00" w:after="1000" w:line="560" w:lineRule="exact"/>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证券代码：000881                证券简称：中广核技                公告编号：</w:t>
      </w:r>
      <w:r>
        <w:rPr>
          <w:rFonts w:hint="default" w:ascii="Times New Roman" w:hAnsi="Times New Roman" w:eastAsia="宋体" w:cs="Times New Roman"/>
          <w:sz w:val="21"/>
          <w:szCs w:val="21"/>
          <w:lang w:val="en-US" w:eastAsia="zh-CN"/>
        </w:rPr>
        <w:t>2023-041</w:t>
      </w:r>
    </w:p>
    <w:p>
      <w:pPr>
        <w:spacing w:before="0" w:after="1000" w:line="400" w:lineRule="exact"/>
        <w:jc w:val="center"/>
        <w:rPr>
          <w:rFonts w:ascii="宋体" w:hAnsi="宋体" w:eastAsia="宋体" w:cs="宋体"/>
          <w:b/>
          <w:bCs/>
          <w:sz w:val="36"/>
          <w:szCs w:val="36"/>
        </w:rPr>
      </w:pPr>
      <w:r>
        <w:rPr>
          <w:rFonts w:ascii="宋体" w:hAnsi="宋体" w:eastAsia="宋体" w:cs="宋体"/>
          <w:b/>
          <w:bCs/>
          <w:sz w:val="36"/>
          <w:szCs w:val="36"/>
        </w:rPr>
        <w:t>中广核核技术发展股份有限公司2022年年度报告摘要</w:t>
      </w:r>
    </w:p>
    <w:p>
      <w:r>
        <w:br w:type="page"/>
      </w:r>
    </w:p>
    <w:p>
      <w:pPr>
        <w:keepNext/>
        <w:keepLines/>
        <w:spacing w:before="300" w:after="300" w:line="320" w:lineRule="exact"/>
        <w:jc w:val="left"/>
        <w:outlineLvl w:val="1"/>
        <w:rPr>
          <w:rFonts w:ascii="宋体" w:hAnsi="宋体" w:eastAsia="宋体" w:cs="宋体"/>
          <w:b/>
          <w:bCs/>
          <w:sz w:val="24"/>
          <w:szCs w:val="24"/>
        </w:rPr>
      </w:pPr>
      <w:bookmarkStart w:id="0" w:name="_Toc988889"/>
      <w:r>
        <w:rPr>
          <w:rFonts w:ascii="宋体" w:hAnsi="宋体" w:eastAsia="宋体" w:cs="宋体"/>
          <w:b/>
          <w:bCs/>
          <w:sz w:val="24"/>
          <w:szCs w:val="24"/>
        </w:rPr>
        <w:t>一、重要提示</w:t>
      </w:r>
      <w:bookmarkEnd w:id="0"/>
    </w:p>
    <w:p>
      <w:pPr>
        <w:spacing w:before="100" w:after="100" w:line="240" w:lineRule="exact"/>
        <w:jc w:val="left"/>
        <w:rPr>
          <w:rFonts w:ascii="宋体" w:hAnsi="宋体" w:eastAsia="宋体" w:cs="宋体"/>
          <w:sz w:val="21"/>
          <w:szCs w:val="21"/>
        </w:rPr>
      </w:pPr>
      <w:r>
        <w:rPr>
          <w:rFonts w:ascii="宋体" w:hAnsi="宋体" w:eastAsia="宋体" w:cs="宋体"/>
          <w:sz w:val="21"/>
          <w:szCs w:val="21"/>
        </w:rPr>
        <w:t>本年度报告摘要来自年度报告全文，为全面了解本公司的经营成果、财务状况及未来发展规划，投资者应当到证监会指定媒体仔细阅读年度报告全文。</w:t>
      </w:r>
    </w:p>
    <w:p>
      <w:pPr>
        <w:spacing w:before="100" w:after="100" w:line="240" w:lineRule="exact"/>
        <w:jc w:val="left"/>
        <w:rPr>
          <w:rFonts w:ascii="宋体" w:hAnsi="宋体" w:eastAsia="宋体" w:cs="宋体"/>
          <w:sz w:val="21"/>
          <w:szCs w:val="21"/>
        </w:rPr>
      </w:pPr>
      <w:r>
        <w:rPr>
          <w:rFonts w:ascii="宋体" w:hAnsi="宋体" w:eastAsia="宋体" w:cs="宋体"/>
          <w:sz w:val="21"/>
          <w:szCs w:val="21"/>
        </w:rPr>
        <w:t>所有董事均已出席了审议本报告的董事会会议。</w:t>
      </w:r>
    </w:p>
    <w:p>
      <w:pPr>
        <w:spacing w:before="100" w:after="100" w:line="240" w:lineRule="exact"/>
        <w:jc w:val="left"/>
        <w:rPr>
          <w:rFonts w:ascii="宋体" w:hAnsi="宋体" w:eastAsia="宋体" w:cs="宋体"/>
          <w:sz w:val="21"/>
          <w:szCs w:val="21"/>
        </w:rPr>
      </w:pPr>
      <w:r>
        <w:rPr>
          <w:rFonts w:ascii="宋体" w:hAnsi="宋体" w:eastAsia="宋体" w:cs="宋体"/>
          <w:sz w:val="21"/>
          <w:szCs w:val="21"/>
        </w:rPr>
        <w:t>非标准审计意见提示</w:t>
      </w:r>
    </w:p>
    <w:p>
      <w:pPr>
        <w:spacing w:before="100" w:after="100" w:line="240" w:lineRule="exact"/>
        <w:jc w:val="left"/>
        <w:rPr>
          <w:rFonts w:ascii="宋体" w:hAnsi="宋体" w:eastAsia="宋体" w:cs="宋体"/>
          <w:sz w:val="21"/>
          <w:szCs w:val="21"/>
        </w:rPr>
      </w:pPr>
      <w:r>
        <w:rPr>
          <w:rFonts w:ascii="宋体" w:hAnsi="宋体" w:eastAsia="宋体" w:cs="宋体"/>
          <w:sz w:val="21"/>
          <w:szCs w:val="21"/>
        </w:rPr>
        <w:t xml:space="preserve">□适用 </w:t>
      </w:r>
      <w:r>
        <w:rPr>
          <w:rFonts w:ascii="宋体" w:hAnsi="宋体" w:eastAsia="宋体" w:cs="宋体"/>
          <w:sz w:val="21"/>
          <w:szCs w:val="21"/>
        </w:rPr>
        <w:sym w:font="Wingdings 2" w:char="F052"/>
      </w:r>
      <w:r>
        <w:rPr>
          <w:rFonts w:ascii="宋体" w:hAnsi="宋体" w:eastAsia="宋体" w:cs="宋体"/>
          <w:sz w:val="21"/>
          <w:szCs w:val="21"/>
        </w:rPr>
        <w:t>不适用</w:t>
      </w:r>
    </w:p>
    <w:p>
      <w:pPr>
        <w:spacing w:before="100" w:after="100" w:line="240" w:lineRule="exact"/>
        <w:jc w:val="left"/>
        <w:rPr>
          <w:rFonts w:ascii="宋体" w:hAnsi="宋体" w:eastAsia="宋体" w:cs="宋体"/>
          <w:sz w:val="21"/>
          <w:szCs w:val="21"/>
        </w:rPr>
      </w:pPr>
      <w:r>
        <w:rPr>
          <w:rFonts w:ascii="宋体" w:hAnsi="宋体" w:eastAsia="宋体" w:cs="宋体"/>
          <w:sz w:val="21"/>
          <w:szCs w:val="21"/>
        </w:rPr>
        <w:t>董事会审议的报告期利润分配预案或公积金转增股本预案</w:t>
      </w:r>
    </w:p>
    <w:p>
      <w:pPr>
        <w:spacing w:before="100" w:after="100" w:line="240" w:lineRule="exact"/>
        <w:jc w:val="left"/>
        <w:rPr>
          <w:rFonts w:ascii="宋体" w:hAnsi="宋体" w:eastAsia="宋体" w:cs="宋体"/>
          <w:sz w:val="21"/>
          <w:szCs w:val="21"/>
        </w:rPr>
      </w:pPr>
      <w:r>
        <w:rPr>
          <w:rFonts w:ascii="宋体" w:hAnsi="宋体" w:eastAsia="宋体" w:cs="宋体"/>
          <w:sz w:val="21"/>
          <w:szCs w:val="21"/>
        </w:rPr>
        <w:sym w:font="Wingdings 2" w:char="F052"/>
      </w:r>
      <w:r>
        <w:rPr>
          <w:rFonts w:ascii="宋体" w:hAnsi="宋体" w:eastAsia="宋体" w:cs="宋体"/>
          <w:sz w:val="21"/>
          <w:szCs w:val="21"/>
        </w:rPr>
        <w:t>适用 □不适用</w:t>
      </w:r>
    </w:p>
    <w:p>
      <w:pPr>
        <w:spacing w:before="100" w:after="100" w:line="240" w:lineRule="exact"/>
        <w:jc w:val="left"/>
        <w:rPr>
          <w:rFonts w:ascii="宋体" w:hAnsi="宋体" w:eastAsia="宋体" w:cs="宋体"/>
          <w:sz w:val="21"/>
          <w:szCs w:val="21"/>
        </w:rPr>
      </w:pPr>
      <w:r>
        <w:rPr>
          <w:rFonts w:ascii="宋体" w:hAnsi="宋体" w:eastAsia="宋体" w:cs="宋体"/>
          <w:sz w:val="21"/>
          <w:szCs w:val="21"/>
        </w:rPr>
        <w:t>是否以公积金转增股本</w:t>
      </w:r>
    </w:p>
    <w:p>
      <w:pPr>
        <w:spacing w:before="100" w:after="100" w:line="240" w:lineRule="exact"/>
        <w:jc w:val="left"/>
        <w:rPr>
          <w:rFonts w:ascii="宋体" w:hAnsi="宋体" w:eastAsia="宋体" w:cs="宋体"/>
          <w:sz w:val="21"/>
          <w:szCs w:val="21"/>
        </w:rPr>
      </w:pPr>
      <w:r>
        <w:rPr>
          <w:rFonts w:ascii="宋体" w:hAnsi="宋体" w:eastAsia="宋体" w:cs="宋体"/>
          <w:sz w:val="21"/>
          <w:szCs w:val="21"/>
        </w:rPr>
        <w:t xml:space="preserve">□是 </w:t>
      </w:r>
      <w:r>
        <w:rPr>
          <w:rFonts w:ascii="宋体" w:hAnsi="宋体" w:eastAsia="宋体" w:cs="宋体"/>
          <w:sz w:val="21"/>
          <w:szCs w:val="21"/>
        </w:rPr>
        <w:sym w:font="Wingdings 2" w:char="F052"/>
      </w:r>
      <w:r>
        <w:rPr>
          <w:rFonts w:ascii="宋体" w:hAnsi="宋体" w:eastAsia="宋体" w:cs="宋体"/>
          <w:sz w:val="21"/>
          <w:szCs w:val="21"/>
        </w:rPr>
        <w:t>否</w:t>
      </w:r>
    </w:p>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公司经本次董事会审议通过的利润分配预案为：以2022年12月31日总股本945,425,815股为基数，向全体股东每10股派发现金红利0.4元（含税），送红股0股（含税），不以公积金转增股本。</w:t>
      </w:r>
    </w:p>
    <w:p>
      <w:pPr>
        <w:keepNext/>
        <w:keepLines/>
        <w:spacing w:before="300" w:after="300" w:line="320" w:lineRule="exact"/>
        <w:jc w:val="left"/>
        <w:outlineLvl w:val="1"/>
        <w:rPr>
          <w:rFonts w:ascii="宋体" w:hAnsi="宋体" w:eastAsia="宋体" w:cs="宋体"/>
          <w:b/>
          <w:bCs/>
          <w:sz w:val="24"/>
          <w:szCs w:val="24"/>
        </w:rPr>
      </w:pPr>
      <w:bookmarkStart w:id="1" w:name="_Toc988890"/>
      <w:r>
        <w:rPr>
          <w:rFonts w:ascii="宋体" w:hAnsi="宋体" w:eastAsia="宋体" w:cs="宋体"/>
          <w:b/>
          <w:bCs/>
          <w:sz w:val="24"/>
          <w:szCs w:val="24"/>
        </w:rPr>
        <w:t>二、公司基本情况</w:t>
      </w:r>
      <w:bookmarkEnd w:id="1"/>
    </w:p>
    <w:p>
      <w:pPr>
        <w:keepNext/>
        <w:keepLines/>
        <w:spacing w:before="300" w:after="300" w:line="280" w:lineRule="exact"/>
        <w:jc w:val="left"/>
        <w:outlineLvl w:val="2"/>
        <w:rPr>
          <w:rFonts w:ascii="宋体" w:hAnsi="宋体" w:eastAsia="宋体" w:cs="宋体"/>
          <w:b/>
          <w:bCs/>
          <w:sz w:val="21"/>
          <w:szCs w:val="21"/>
        </w:rPr>
      </w:pPr>
      <w:bookmarkStart w:id="2" w:name="_Toc988891"/>
      <w:r>
        <w:rPr>
          <w:rFonts w:ascii="宋体" w:hAnsi="宋体" w:eastAsia="宋体" w:cs="宋体"/>
          <w:b/>
          <w:bCs/>
          <w:sz w:val="21"/>
          <w:szCs w:val="21"/>
        </w:rPr>
        <w:t>1、公司简介</w:t>
      </w:r>
      <w:bookmarkEnd w:id="2"/>
    </w:p>
    <w:tbl>
      <w:tblPr>
        <w:tblStyle w:val="3"/>
        <w:tblW w:w="9640"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733"/>
        <w:gridCol w:w="2947"/>
        <w:gridCol w:w="1480"/>
        <w:gridCol w:w="148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3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股票简称</w:t>
            </w:r>
          </w:p>
        </w:tc>
        <w:tc>
          <w:tcPr>
            <w:tcW w:w="294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中广核技</w:t>
            </w:r>
          </w:p>
        </w:tc>
        <w:tc>
          <w:tcPr>
            <w:tcW w:w="148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股票代码</w:t>
            </w:r>
          </w:p>
        </w:tc>
        <w:tc>
          <w:tcPr>
            <w:tcW w:w="148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000881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3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股票上市交易所</w:t>
            </w:r>
          </w:p>
        </w:tc>
        <w:tc>
          <w:tcPr>
            <w:tcW w:w="5907" w:type="dxa"/>
            <w:gridSpan w:val="3"/>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深圳证券交易所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3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联系人和联系方式</w:t>
            </w:r>
          </w:p>
        </w:tc>
        <w:tc>
          <w:tcPr>
            <w:tcW w:w="2947"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董事会秘书</w:t>
            </w:r>
          </w:p>
        </w:tc>
        <w:tc>
          <w:tcPr>
            <w:tcW w:w="2960"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证券事务代表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3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姓名</w:t>
            </w:r>
          </w:p>
        </w:tc>
        <w:tc>
          <w:tcPr>
            <w:tcW w:w="294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杨新春</w:t>
            </w:r>
          </w:p>
        </w:tc>
        <w:tc>
          <w:tcPr>
            <w:tcW w:w="2960"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吴卫卫</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3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办公地址</w:t>
            </w:r>
          </w:p>
        </w:tc>
        <w:tc>
          <w:tcPr>
            <w:tcW w:w="294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深圳市福田区深南大道2002号中广核大厦北楼19层</w:t>
            </w:r>
          </w:p>
        </w:tc>
        <w:tc>
          <w:tcPr>
            <w:tcW w:w="2960"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深圳市福田区深南大道2002号中广核大厦北楼19层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3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传真</w:t>
            </w:r>
          </w:p>
        </w:tc>
        <w:tc>
          <w:tcPr>
            <w:tcW w:w="294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0755-84434946-619331</w:t>
            </w:r>
          </w:p>
        </w:tc>
        <w:tc>
          <w:tcPr>
            <w:tcW w:w="2960"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0755-84434946-619331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3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电话</w:t>
            </w:r>
          </w:p>
        </w:tc>
        <w:tc>
          <w:tcPr>
            <w:tcW w:w="294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0755-88619309</w:t>
            </w:r>
          </w:p>
        </w:tc>
        <w:tc>
          <w:tcPr>
            <w:tcW w:w="2960"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0755-88619309</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73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电子信箱</w:t>
            </w:r>
          </w:p>
        </w:tc>
        <w:tc>
          <w:tcPr>
            <w:tcW w:w="294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yangxinchun@cgnpc.com.cn</w:t>
            </w:r>
          </w:p>
        </w:tc>
        <w:tc>
          <w:tcPr>
            <w:tcW w:w="2960"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wuweiwei@cgnpc.com.cn</w:t>
            </w:r>
          </w:p>
        </w:tc>
      </w:tr>
    </w:tbl>
    <w:p>
      <w:pPr>
        <w:keepNext/>
        <w:keepLines/>
        <w:spacing w:before="300" w:after="300" w:line="280" w:lineRule="exact"/>
        <w:jc w:val="left"/>
        <w:outlineLvl w:val="2"/>
        <w:rPr>
          <w:rFonts w:ascii="宋体" w:hAnsi="宋体" w:eastAsia="宋体" w:cs="宋体"/>
          <w:b/>
          <w:bCs/>
          <w:sz w:val="21"/>
          <w:szCs w:val="21"/>
        </w:rPr>
      </w:pPr>
      <w:bookmarkStart w:id="3" w:name="_Toc988892"/>
      <w:r>
        <w:rPr>
          <w:rFonts w:ascii="宋体" w:hAnsi="宋体" w:eastAsia="宋体" w:cs="宋体"/>
          <w:b/>
          <w:bCs/>
          <w:sz w:val="21"/>
          <w:szCs w:val="21"/>
        </w:rPr>
        <w:t>2、报告期主要业务或产品简介</w:t>
      </w:r>
      <w:bookmarkEnd w:id="3"/>
    </w:p>
    <w:p>
      <w:pPr>
        <w:pStyle w:val="2"/>
        <w:keepNext w:val="0"/>
        <w:keepLines w:val="0"/>
        <w:widowControl/>
        <w:suppressLineNumbers w:val="0"/>
        <w:spacing w:before="157" w:beforeAutospacing="0" w:after="157" w:afterAutospacing="0" w:line="360" w:lineRule="auto"/>
        <w:ind w:left="0" w:right="0"/>
        <w:jc w:val="both"/>
        <w:rPr>
          <w:rFonts w:hint="default" w:ascii="Times New Roman" w:hAnsi="Times New Roman" w:cs="Times New Roman"/>
          <w:sz w:val="21"/>
          <w:szCs w:val="21"/>
        </w:rPr>
      </w:pPr>
      <w:r>
        <w:rPr>
          <w:rStyle w:val="5"/>
          <w:rFonts w:hint="eastAsia" w:ascii="宋体" w:hAnsi="宋体" w:eastAsia="宋体" w:cs="宋体"/>
          <w:b/>
          <w:bCs/>
          <w:sz w:val="21"/>
          <w:szCs w:val="21"/>
        </w:rPr>
        <w:t>电子加速器研发与制造</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eastAsia" w:ascii="宋体" w:hAnsi="宋体" w:eastAsia="宋体" w:cs="宋体"/>
          <w:sz w:val="21"/>
          <w:szCs w:val="21"/>
        </w:rPr>
        <w:t>电子加速器领域，公司</w:t>
      </w:r>
      <w:r>
        <w:rPr>
          <w:rFonts w:hint="default" w:ascii="Times New Roman" w:hAnsi="Times New Roman" w:eastAsia="宋体" w:cs="Times New Roman"/>
          <w:sz w:val="21"/>
          <w:szCs w:val="21"/>
        </w:rPr>
        <w:t>2022</w:t>
      </w:r>
      <w:r>
        <w:rPr>
          <w:rFonts w:hint="eastAsia" w:ascii="宋体" w:hAnsi="宋体" w:eastAsia="宋体" w:cs="宋体"/>
          <w:sz w:val="21"/>
          <w:szCs w:val="21"/>
        </w:rPr>
        <w:t>年在电子加速器市场，销售数量与销售收入再创新高。其中，在消毒灭菌市场，</w:t>
      </w:r>
      <w:r>
        <w:rPr>
          <w:rFonts w:hint="default" w:ascii="Times New Roman" w:hAnsi="Times New Roman" w:eastAsia="宋体" w:cs="Times New Roman"/>
          <w:sz w:val="21"/>
          <w:szCs w:val="21"/>
        </w:rPr>
        <w:t>DZ</w:t>
      </w:r>
      <w:r>
        <w:rPr>
          <w:rFonts w:hint="eastAsia" w:ascii="宋体" w:hAnsi="宋体" w:eastAsia="宋体" w:cs="宋体"/>
          <w:sz w:val="21"/>
          <w:szCs w:val="21"/>
        </w:rPr>
        <w:t>设备销售额同比增加近</w:t>
      </w:r>
      <w:r>
        <w:rPr>
          <w:rFonts w:hint="default" w:ascii="Times New Roman" w:hAnsi="Times New Roman" w:eastAsia="宋体" w:cs="Times New Roman"/>
          <w:sz w:val="21"/>
          <w:szCs w:val="21"/>
        </w:rPr>
        <w:t>1</w:t>
      </w:r>
      <w:r>
        <w:rPr>
          <w:rFonts w:hint="eastAsia" w:ascii="宋体" w:hAnsi="宋体" w:eastAsia="宋体" w:cs="宋体"/>
          <w:sz w:val="21"/>
          <w:szCs w:val="21"/>
        </w:rPr>
        <w:t>倍，创历史新高；海外加速器销售额同比增加</w:t>
      </w:r>
      <w:r>
        <w:rPr>
          <w:rFonts w:hint="default" w:ascii="Times New Roman" w:hAnsi="Times New Roman" w:eastAsia="宋体" w:cs="Times New Roman"/>
          <w:sz w:val="21"/>
          <w:szCs w:val="21"/>
        </w:rPr>
        <w:t>2.3</w:t>
      </w:r>
      <w:r>
        <w:rPr>
          <w:rFonts w:hint="eastAsia" w:ascii="宋体" w:hAnsi="宋体" w:eastAsia="宋体" w:cs="宋体"/>
          <w:sz w:val="21"/>
          <w:szCs w:val="21"/>
        </w:rPr>
        <w:t>倍；国内除传统应用场景之外，在轮胎预硫化新应用场景也实现销售突破，</w:t>
      </w:r>
      <w:r>
        <w:rPr>
          <w:rFonts w:hint="default" w:ascii="Times New Roman" w:hAnsi="Times New Roman" w:eastAsia="宋体" w:cs="Times New Roman"/>
          <w:sz w:val="21"/>
          <w:szCs w:val="21"/>
        </w:rPr>
        <w:t>X</w:t>
      </w:r>
      <w:r>
        <w:rPr>
          <w:rFonts w:hint="eastAsia" w:ascii="宋体" w:hAnsi="宋体" w:eastAsia="宋体" w:cs="宋体"/>
          <w:sz w:val="21"/>
          <w:szCs w:val="21"/>
        </w:rPr>
        <w:t>射线业务在新能源汽车领域实现零的突破；电子加速器关键零部件销售额也同比增长近</w:t>
      </w:r>
      <w:r>
        <w:rPr>
          <w:rFonts w:hint="default" w:ascii="Times New Roman" w:hAnsi="Times New Roman" w:eastAsia="宋体" w:cs="Times New Roman"/>
          <w:sz w:val="21"/>
          <w:szCs w:val="21"/>
        </w:rPr>
        <w:t>1</w:t>
      </w:r>
      <w:r>
        <w:rPr>
          <w:rFonts w:hint="eastAsia" w:ascii="宋体" w:hAnsi="宋体" w:eastAsia="宋体" w:cs="宋体"/>
          <w:sz w:val="21"/>
          <w:szCs w:val="21"/>
        </w:rPr>
        <w:t>倍。公司旗下子公司中广核达胜加速器技术有限公司，是公司践行</w:t>
      </w:r>
      <w:r>
        <w:rPr>
          <w:rFonts w:hint="default" w:ascii="Times New Roman" w:hAnsi="Times New Roman" w:eastAsia="宋体" w:cs="Times New Roman"/>
          <w:sz w:val="21"/>
          <w:szCs w:val="21"/>
        </w:rPr>
        <w:t>A+</w:t>
      </w:r>
      <w:r>
        <w:rPr>
          <w:rFonts w:hint="eastAsia" w:ascii="宋体" w:hAnsi="宋体" w:eastAsia="宋体" w:cs="宋体"/>
          <w:sz w:val="21"/>
          <w:szCs w:val="21"/>
        </w:rPr>
        <w:t>战略的重要平台，其研制的工业电子加速器，市场占有率连续多年位居国内行业领先地位。</w:t>
      </w:r>
      <w:r>
        <w:rPr>
          <w:rFonts w:hint="default" w:ascii="Times New Roman" w:hAnsi="Times New Roman" w:eastAsia="宋体" w:cs="Times New Roman"/>
          <w:sz w:val="21"/>
          <w:szCs w:val="21"/>
        </w:rPr>
        <w:t>2022</w:t>
      </w:r>
      <w:r>
        <w:rPr>
          <w:rFonts w:hint="eastAsia" w:ascii="宋体" w:hAnsi="宋体" w:eastAsia="宋体" w:cs="宋体"/>
          <w:sz w:val="21"/>
          <w:szCs w:val="21"/>
        </w:rPr>
        <w:t>年，中广核达胜荣获国家制造业单项冠军，不仅是国际辐照联合会</w:t>
      </w:r>
      <w:r>
        <w:rPr>
          <w:rFonts w:hint="default" w:ascii="Times New Roman" w:hAnsi="Times New Roman" w:eastAsia="宋体" w:cs="Times New Roman"/>
          <w:sz w:val="21"/>
          <w:szCs w:val="21"/>
        </w:rPr>
        <w:t>(IIA)</w:t>
      </w:r>
      <w:r>
        <w:rPr>
          <w:rFonts w:hint="eastAsia" w:ascii="宋体" w:hAnsi="宋体" w:eastAsia="宋体" w:cs="宋体"/>
          <w:sz w:val="21"/>
          <w:szCs w:val="21"/>
        </w:rPr>
        <w:t>的唯一中国理事单位，也是国家原子能机构核技术（电子束技术环境应用）研发中心、国家</w:t>
      </w:r>
      <w:r>
        <w:rPr>
          <w:rFonts w:hint="default" w:ascii="Times New Roman" w:hAnsi="Times New Roman" w:eastAsia="宋体" w:cs="Times New Roman"/>
          <w:sz w:val="21"/>
          <w:szCs w:val="21"/>
        </w:rPr>
        <w:t>2</w:t>
      </w:r>
      <w:r>
        <w:rPr>
          <w:rFonts w:hint="eastAsia" w:ascii="宋体" w:hAnsi="宋体" w:eastAsia="宋体" w:cs="宋体"/>
          <w:sz w:val="21"/>
          <w:szCs w:val="21"/>
        </w:rPr>
        <w:t>级博士后科研工作站、江苏省企业技术中心、江苏省电子加速器环保应用工程研究中心、江苏省电子加速器制造及应用工程技术研究中心、中广核集团电子加速器技术及应用研发中心、</w:t>
      </w:r>
      <w:r>
        <w:rPr>
          <w:rFonts w:hint="default" w:ascii="Times New Roman" w:hAnsi="Times New Roman" w:eastAsia="宋体" w:cs="Times New Roman"/>
          <w:sz w:val="21"/>
          <w:szCs w:val="21"/>
        </w:rPr>
        <w:t>CNAS</w:t>
      </w:r>
      <w:r>
        <w:rPr>
          <w:rFonts w:hint="eastAsia" w:ascii="宋体" w:hAnsi="宋体" w:eastAsia="宋体" w:cs="宋体"/>
          <w:sz w:val="21"/>
          <w:szCs w:val="21"/>
        </w:rPr>
        <w:t>国家认可实验室（</w:t>
      </w:r>
      <w:r>
        <w:rPr>
          <w:rFonts w:hint="default" w:ascii="Times New Roman" w:hAnsi="Times New Roman" w:eastAsia="宋体" w:cs="Times New Roman"/>
          <w:sz w:val="21"/>
          <w:szCs w:val="21"/>
        </w:rPr>
        <w:t>CNASL7851</w:t>
      </w:r>
      <w:r>
        <w:rPr>
          <w:rFonts w:hint="eastAsia" w:ascii="宋体" w:hAnsi="宋体" w:eastAsia="宋体" w:cs="宋体"/>
          <w:sz w:val="21"/>
          <w:szCs w:val="21"/>
        </w:rPr>
        <w:t>）、苏州市核技术环保应用研究重点实验室；主编的</w:t>
      </w:r>
      <w:r>
        <w:rPr>
          <w:rFonts w:hint="default" w:ascii="Times New Roman" w:hAnsi="Times New Roman" w:eastAsia="宋体" w:cs="Times New Roman"/>
          <w:sz w:val="21"/>
          <w:szCs w:val="21"/>
        </w:rPr>
        <w:t>T/CIRA 34-2022</w:t>
      </w:r>
      <w:r>
        <w:rPr>
          <w:rFonts w:hint="eastAsia" w:ascii="宋体" w:hAnsi="宋体" w:eastAsia="宋体" w:cs="宋体"/>
          <w:sz w:val="21"/>
          <w:szCs w:val="21"/>
        </w:rPr>
        <w:t>《辐照电线电缆束下传输装置》，参编的</w:t>
      </w:r>
      <w:r>
        <w:rPr>
          <w:rFonts w:hint="default" w:ascii="Times New Roman" w:hAnsi="Times New Roman" w:eastAsia="宋体" w:cs="Times New Roman"/>
          <w:sz w:val="21"/>
          <w:szCs w:val="21"/>
        </w:rPr>
        <w:t>T/CIRA 29-2022</w:t>
      </w:r>
      <w:r>
        <w:rPr>
          <w:rFonts w:hint="eastAsia" w:ascii="宋体" w:hAnsi="宋体" w:eastAsia="宋体" w:cs="宋体"/>
          <w:sz w:val="21"/>
          <w:szCs w:val="21"/>
        </w:rPr>
        <w:t>《冷链食品表面的新型冠状病毒辐照灭活剂量要求》，共</w:t>
      </w:r>
      <w:r>
        <w:rPr>
          <w:rFonts w:hint="default" w:ascii="Times New Roman" w:hAnsi="Times New Roman" w:eastAsia="宋体" w:cs="Times New Roman"/>
          <w:sz w:val="21"/>
          <w:szCs w:val="21"/>
        </w:rPr>
        <w:t>2</w:t>
      </w:r>
      <w:r>
        <w:rPr>
          <w:rFonts w:hint="eastAsia" w:ascii="宋体" w:hAnsi="宋体" w:eastAsia="宋体" w:cs="宋体"/>
          <w:sz w:val="21"/>
          <w:szCs w:val="21"/>
        </w:rPr>
        <w:t>项全国首创团体标准，经中国同位素与辐射行业协会批准发布。中广核达胜现已成为掌握行业关键核心技术、创新能力强、专注于细分市场、市场占有率高、质量效益优的“排头兵”企业，是国内工业电子加速器研发制造的领军企业。</w:t>
      </w:r>
    </w:p>
    <w:p>
      <w:pPr>
        <w:pStyle w:val="2"/>
        <w:keepNext w:val="0"/>
        <w:keepLines w:val="0"/>
        <w:widowControl/>
        <w:suppressLineNumbers w:val="0"/>
        <w:spacing w:before="157" w:beforeAutospacing="0" w:after="157" w:afterAutospacing="0" w:line="360" w:lineRule="auto"/>
        <w:ind w:left="0" w:right="0"/>
        <w:jc w:val="both"/>
        <w:rPr>
          <w:rFonts w:hint="default" w:ascii="Times New Roman" w:hAnsi="Times New Roman" w:cs="Times New Roman"/>
          <w:sz w:val="21"/>
          <w:szCs w:val="21"/>
        </w:rPr>
      </w:pPr>
      <w:r>
        <w:rPr>
          <w:rStyle w:val="5"/>
          <w:rFonts w:hint="eastAsia" w:ascii="宋体" w:hAnsi="宋体" w:eastAsia="宋体" w:cs="宋体"/>
          <w:b/>
          <w:bCs/>
          <w:sz w:val="21"/>
          <w:szCs w:val="21"/>
        </w:rPr>
        <w:t>电子束处理特种废物</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eastAsia" w:ascii="宋体" w:hAnsi="宋体" w:eastAsia="宋体" w:cs="宋体"/>
          <w:sz w:val="21"/>
          <w:szCs w:val="21"/>
        </w:rPr>
        <w:t>电子束处理特种废物领域，公司面向国家重大需求，响应国家“深入打好污染防治攻坚战”的号召，积极拓展政府项目、医疗废弃物处置等多个科研项目。公司旗下子公司达胜科技是一家拥有环保及市政设计乙级资质、环保承包贰级资质、机电及市政承包三级资质、环境污染防治工程总承包甲级资质、环保运营二级资质，是集环境工程和环保设备的研究开发、生产制造、工程设计、工程管理、总承包、投资运营和咨询服务于一体的综合性科技公司，是公司打造电子束处理特种废物业务的重要平台。</w:t>
      </w:r>
      <w:r>
        <w:rPr>
          <w:rFonts w:hint="default" w:ascii="Times New Roman" w:hAnsi="Times New Roman" w:eastAsia="宋体" w:cs="Times New Roman"/>
          <w:sz w:val="21"/>
          <w:szCs w:val="21"/>
        </w:rPr>
        <w:t>2022</w:t>
      </w:r>
      <w:r>
        <w:rPr>
          <w:rFonts w:hint="eastAsia" w:ascii="宋体" w:hAnsi="宋体" w:eastAsia="宋体" w:cs="宋体"/>
          <w:sz w:val="21"/>
          <w:szCs w:val="21"/>
        </w:rPr>
        <w:t>年</w:t>
      </w:r>
      <w:r>
        <w:rPr>
          <w:rFonts w:hint="default" w:ascii="Times New Roman" w:hAnsi="Times New Roman" w:eastAsia="宋体" w:cs="Times New Roman"/>
          <w:sz w:val="21"/>
          <w:szCs w:val="21"/>
        </w:rPr>
        <w:t>11</w:t>
      </w:r>
      <w:r>
        <w:rPr>
          <w:rFonts w:hint="eastAsia" w:ascii="宋体" w:hAnsi="宋体" w:eastAsia="宋体" w:cs="宋体"/>
          <w:sz w:val="21"/>
          <w:szCs w:val="21"/>
        </w:rPr>
        <w:t>月</w:t>
      </w:r>
      <w:r>
        <w:rPr>
          <w:rFonts w:hint="default" w:ascii="Times New Roman" w:hAnsi="Times New Roman" w:eastAsia="宋体" w:cs="Times New Roman"/>
          <w:sz w:val="21"/>
          <w:szCs w:val="21"/>
        </w:rPr>
        <w:t>30</w:t>
      </w:r>
      <w:r>
        <w:rPr>
          <w:rFonts w:hint="eastAsia" w:ascii="宋体" w:hAnsi="宋体" w:eastAsia="宋体" w:cs="宋体"/>
          <w:sz w:val="21"/>
          <w:szCs w:val="21"/>
        </w:rPr>
        <w:t>日，达胜科技承建的位于四川绵阳的我国首个电子束全量化处理垃圾渗滤液示范项目达成工艺流程全线贯通，标志着中国电子束辐照处理废水技术水平走在世界前列。</w:t>
      </w:r>
      <w:r>
        <w:rPr>
          <w:rFonts w:hint="default" w:ascii="Times New Roman" w:hAnsi="Times New Roman" w:eastAsia="宋体" w:cs="Times New Roman"/>
          <w:sz w:val="21"/>
          <w:szCs w:val="21"/>
        </w:rPr>
        <w:t>2022</w:t>
      </w:r>
      <w:r>
        <w:rPr>
          <w:rFonts w:hint="eastAsia" w:ascii="宋体" w:hAnsi="宋体" w:eastAsia="宋体" w:cs="宋体"/>
          <w:sz w:val="21"/>
          <w:szCs w:val="21"/>
        </w:rPr>
        <w:t>年达胜科技新签</w:t>
      </w:r>
      <w:r>
        <w:rPr>
          <w:rFonts w:hint="default" w:ascii="Times New Roman" w:hAnsi="Times New Roman" w:eastAsia="宋体" w:cs="Times New Roman"/>
          <w:sz w:val="21"/>
          <w:szCs w:val="21"/>
        </w:rPr>
        <w:t>8</w:t>
      </w:r>
      <w:r>
        <w:rPr>
          <w:rFonts w:hint="eastAsia" w:ascii="宋体" w:hAnsi="宋体" w:eastAsia="宋体" w:cs="宋体"/>
          <w:sz w:val="21"/>
          <w:szCs w:val="21"/>
        </w:rPr>
        <w:t>项合同，其中</w:t>
      </w:r>
      <w:r>
        <w:rPr>
          <w:rFonts w:hint="default" w:ascii="Times New Roman" w:hAnsi="Times New Roman" w:eastAsia="宋体" w:cs="Times New Roman"/>
          <w:sz w:val="21"/>
          <w:szCs w:val="21"/>
        </w:rPr>
        <w:t>3</w:t>
      </w:r>
      <w:r>
        <w:rPr>
          <w:rFonts w:hint="eastAsia" w:ascii="宋体" w:hAnsi="宋体" w:eastAsia="宋体" w:cs="宋体"/>
          <w:sz w:val="21"/>
          <w:szCs w:val="21"/>
        </w:rPr>
        <w:t>项来自化工废水行业，</w:t>
      </w:r>
      <w:r>
        <w:rPr>
          <w:rFonts w:hint="default" w:ascii="Times New Roman" w:hAnsi="Times New Roman" w:eastAsia="宋体" w:cs="Times New Roman"/>
          <w:sz w:val="21"/>
          <w:szCs w:val="21"/>
        </w:rPr>
        <w:t>3</w:t>
      </w:r>
      <w:r>
        <w:rPr>
          <w:rFonts w:hint="eastAsia" w:ascii="宋体" w:hAnsi="宋体" w:eastAsia="宋体" w:cs="宋体"/>
          <w:sz w:val="21"/>
          <w:szCs w:val="21"/>
        </w:rPr>
        <w:t>项来自生活污水处理行业，</w:t>
      </w:r>
      <w:r>
        <w:rPr>
          <w:rFonts w:hint="default" w:ascii="Times New Roman" w:hAnsi="Times New Roman" w:eastAsia="宋体" w:cs="Times New Roman"/>
          <w:sz w:val="21"/>
          <w:szCs w:val="21"/>
        </w:rPr>
        <w:t>2</w:t>
      </w:r>
      <w:r>
        <w:rPr>
          <w:rFonts w:hint="eastAsia" w:ascii="宋体" w:hAnsi="宋体" w:eastAsia="宋体" w:cs="宋体"/>
          <w:sz w:val="21"/>
          <w:szCs w:val="21"/>
        </w:rPr>
        <w:t>项来自垃圾渗滤液行业。</w:t>
      </w:r>
    </w:p>
    <w:p>
      <w:pPr>
        <w:pStyle w:val="2"/>
        <w:keepNext w:val="0"/>
        <w:keepLines w:val="0"/>
        <w:widowControl/>
        <w:suppressLineNumbers w:val="0"/>
        <w:spacing w:before="157" w:beforeAutospacing="0" w:after="157" w:afterAutospacing="0" w:line="360" w:lineRule="auto"/>
        <w:ind w:left="0" w:right="0"/>
        <w:jc w:val="both"/>
        <w:rPr>
          <w:rFonts w:hint="default" w:ascii="Times New Roman" w:hAnsi="Times New Roman" w:cs="Times New Roman"/>
          <w:sz w:val="21"/>
          <w:szCs w:val="21"/>
        </w:rPr>
      </w:pPr>
      <w:r>
        <w:rPr>
          <w:rStyle w:val="5"/>
          <w:rFonts w:hint="eastAsia" w:ascii="宋体" w:hAnsi="宋体" w:eastAsia="宋体" w:cs="宋体"/>
          <w:b/>
          <w:bCs/>
          <w:sz w:val="21"/>
          <w:szCs w:val="21"/>
        </w:rPr>
        <w:t>辐照加工</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default" w:ascii="Times New Roman" w:hAnsi="Times New Roman" w:eastAsia="宋体" w:cs="Times New Roman"/>
          <w:sz w:val="21"/>
          <w:szCs w:val="21"/>
        </w:rPr>
        <w:t>2022</w:t>
      </w:r>
      <w:r>
        <w:rPr>
          <w:rFonts w:hint="eastAsia" w:ascii="宋体" w:hAnsi="宋体" w:eastAsia="宋体" w:cs="宋体"/>
          <w:sz w:val="21"/>
          <w:szCs w:val="21"/>
        </w:rPr>
        <w:t>年，公司现有辐照加工业务，在运电子束辐照加工能力位居国内领先水平；在长三角地区、珠三角地区具有较强影响力，辐照交联改性业务加工能力和盈利处于国内领先，辐照消毒灭菌业务国内名列前茅；公司具有辐照站点建设运营，辐照材料改性和辐照消毒灭菌服务的完整业务模式。公司</w:t>
      </w:r>
      <w:r>
        <w:rPr>
          <w:rFonts w:hint="default" w:ascii="Times New Roman" w:hAnsi="Times New Roman" w:eastAsia="宋体" w:cs="Times New Roman"/>
          <w:sz w:val="21"/>
          <w:szCs w:val="21"/>
        </w:rPr>
        <w:t>2022</w:t>
      </w:r>
      <w:r>
        <w:rPr>
          <w:rFonts w:hint="eastAsia" w:ascii="宋体" w:hAnsi="宋体" w:eastAsia="宋体" w:cs="宋体"/>
          <w:sz w:val="21"/>
          <w:szCs w:val="21"/>
        </w:rPr>
        <w:t>年重点围绕辐照业务全国网络化布局方案，稳步推进新项目施工建设，同步完成</w:t>
      </w:r>
      <w:r>
        <w:rPr>
          <w:rFonts w:hint="default" w:ascii="Times New Roman" w:hAnsi="Times New Roman" w:eastAsia="宋体" w:cs="Times New Roman"/>
          <w:sz w:val="21"/>
          <w:szCs w:val="21"/>
        </w:rPr>
        <w:t>2</w:t>
      </w:r>
      <w:r>
        <w:rPr>
          <w:rFonts w:hint="eastAsia" w:ascii="宋体" w:hAnsi="宋体" w:eastAsia="宋体" w:cs="宋体"/>
          <w:sz w:val="21"/>
          <w:szCs w:val="21"/>
        </w:rPr>
        <w:t>个新辐照应用项目的投资决策及多个新项目的立项审批，为公司突破地域，向华北及西南地区推进辐照业务发展打下坚实基础。</w:t>
      </w:r>
    </w:p>
    <w:p>
      <w:pPr>
        <w:pStyle w:val="2"/>
        <w:keepNext w:val="0"/>
        <w:keepLines w:val="0"/>
        <w:widowControl/>
        <w:suppressLineNumbers w:val="0"/>
        <w:spacing w:before="157" w:beforeAutospacing="0" w:after="157" w:afterAutospacing="0" w:line="360" w:lineRule="auto"/>
        <w:ind w:left="0" w:right="0"/>
        <w:jc w:val="both"/>
        <w:rPr>
          <w:rFonts w:hint="default" w:ascii="Times New Roman" w:hAnsi="Times New Roman" w:cs="Times New Roman"/>
          <w:sz w:val="21"/>
          <w:szCs w:val="21"/>
        </w:rPr>
      </w:pPr>
      <w:r>
        <w:rPr>
          <w:rStyle w:val="5"/>
          <w:rFonts w:hint="eastAsia" w:ascii="宋体" w:hAnsi="宋体" w:eastAsia="宋体" w:cs="宋体"/>
          <w:b/>
          <w:bCs/>
          <w:sz w:val="21"/>
          <w:szCs w:val="21"/>
        </w:rPr>
        <w:t>新材料</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eastAsia" w:ascii="宋体" w:hAnsi="宋体" w:eastAsia="宋体" w:cs="宋体"/>
          <w:sz w:val="21"/>
          <w:szCs w:val="21"/>
        </w:rPr>
        <w:t>新材料领域，目前公司生产的线缆料，稳居行业前列，其中光通信材料居国内龙头地位，汽车密封条、建筑用防水卷材、航天航空用大飞机料等材料处于国内领先水平，工业电器、</w:t>
      </w:r>
      <w:r>
        <w:rPr>
          <w:rFonts w:hint="default" w:ascii="Times New Roman" w:hAnsi="Times New Roman" w:eastAsia="宋体" w:cs="Times New Roman"/>
          <w:sz w:val="21"/>
          <w:szCs w:val="21"/>
        </w:rPr>
        <w:t>LED</w:t>
      </w:r>
      <w:r>
        <w:rPr>
          <w:rFonts w:hint="eastAsia" w:ascii="宋体" w:hAnsi="宋体" w:eastAsia="宋体" w:cs="宋体"/>
          <w:sz w:val="21"/>
          <w:szCs w:val="21"/>
        </w:rPr>
        <w:t>照明行业影响力国内领先、辐照交联尼龙产品填补国内空白。公司下属子公司高新核材，携手上海交通大学开发出完全国产化的航空航天线缆用辐照交联乙烯</w:t>
      </w:r>
      <w:r>
        <w:rPr>
          <w:rFonts w:hint="default" w:ascii="Times New Roman" w:hAnsi="Times New Roman" w:eastAsia="宋体" w:cs="Times New Roman"/>
          <w:sz w:val="21"/>
          <w:szCs w:val="21"/>
        </w:rPr>
        <w:t>-</w:t>
      </w:r>
      <w:r>
        <w:rPr>
          <w:rFonts w:hint="eastAsia" w:ascii="宋体" w:hAnsi="宋体" w:eastAsia="宋体" w:cs="宋体"/>
          <w:sz w:val="21"/>
          <w:szCs w:val="21"/>
        </w:rPr>
        <w:t>四氟乙烯共聚物（</w:t>
      </w:r>
      <w:r>
        <w:rPr>
          <w:rFonts w:hint="default" w:ascii="Times New Roman" w:hAnsi="Times New Roman" w:eastAsia="宋体" w:cs="Times New Roman"/>
          <w:sz w:val="21"/>
          <w:szCs w:val="21"/>
        </w:rPr>
        <w:t>XETFE</w:t>
      </w:r>
      <w:r>
        <w:rPr>
          <w:rFonts w:hint="eastAsia" w:ascii="宋体" w:hAnsi="宋体" w:eastAsia="宋体" w:cs="宋体"/>
          <w:sz w:val="21"/>
          <w:szCs w:val="21"/>
        </w:rPr>
        <w:t>）电缆料，替代进口产品同时实现海外出口，提高我国高端材料及产品的市场竞争力和自给率；并在生物可降解材料领域取得重大突破，拉挤板材业务完成厂房建设及部分客户产品验证，灯带料、新能源汽车线料、拖链料等新产品取得实质性进展。下属子公司俊尔公司入选国家级“绿色工厂”；获评温州国家自创区创新型领军（瞪羚）企业、温州市领军型工业企业、创新型中小企业；入榜</w:t>
      </w:r>
      <w:r>
        <w:rPr>
          <w:rFonts w:hint="default" w:ascii="Times New Roman" w:hAnsi="Times New Roman" w:eastAsia="宋体" w:cs="Times New Roman"/>
          <w:sz w:val="21"/>
          <w:szCs w:val="21"/>
        </w:rPr>
        <w:t>2022</w:t>
      </w:r>
      <w:r>
        <w:rPr>
          <w:rFonts w:hint="eastAsia" w:ascii="宋体" w:hAnsi="宋体" w:eastAsia="宋体" w:cs="宋体"/>
          <w:sz w:val="21"/>
          <w:szCs w:val="21"/>
        </w:rPr>
        <w:t>温州综合百强及制造业</w:t>
      </w:r>
      <w:r>
        <w:rPr>
          <w:rFonts w:hint="default" w:ascii="Times New Roman" w:hAnsi="Times New Roman" w:eastAsia="宋体" w:cs="Times New Roman"/>
          <w:sz w:val="21"/>
          <w:szCs w:val="21"/>
        </w:rPr>
        <w:t>50</w:t>
      </w:r>
      <w:r>
        <w:rPr>
          <w:rFonts w:hint="eastAsia" w:ascii="宋体" w:hAnsi="宋体" w:eastAsia="宋体" w:cs="宋体"/>
          <w:sz w:val="21"/>
          <w:szCs w:val="21"/>
        </w:rPr>
        <w:t>强企业；国家级智能制造项目全面上线，入选</w:t>
      </w:r>
      <w:r>
        <w:rPr>
          <w:rFonts w:hint="default" w:ascii="Times New Roman" w:hAnsi="Times New Roman" w:eastAsia="宋体" w:cs="Times New Roman"/>
          <w:sz w:val="21"/>
          <w:szCs w:val="21"/>
        </w:rPr>
        <w:t>2021</w:t>
      </w:r>
      <w:r>
        <w:rPr>
          <w:rFonts w:hint="eastAsia" w:ascii="宋体" w:hAnsi="宋体" w:eastAsia="宋体" w:cs="宋体"/>
          <w:sz w:val="21"/>
          <w:szCs w:val="21"/>
        </w:rPr>
        <w:t>年核能企业数字化转型十大优秀案例；未来国家级企业技术中心主体结构顺利封顶；其主营产品在电表行业、电动工具行业、汽车行业均实现出色的市场成绩；并持续推进与重要客户在光伏背板材料、</w:t>
      </w:r>
      <w:r>
        <w:rPr>
          <w:rFonts w:hint="default" w:ascii="Times New Roman" w:hAnsi="Times New Roman" w:eastAsia="宋体" w:cs="Times New Roman"/>
          <w:sz w:val="21"/>
          <w:szCs w:val="21"/>
        </w:rPr>
        <w:t>5G+</w:t>
      </w:r>
      <w:r>
        <w:rPr>
          <w:rFonts w:hint="eastAsia" w:ascii="宋体" w:hAnsi="宋体" w:eastAsia="宋体" w:cs="宋体"/>
          <w:sz w:val="21"/>
          <w:szCs w:val="21"/>
        </w:rPr>
        <w:t>智能行业材料、耐辐照医用</w:t>
      </w:r>
      <w:r>
        <w:rPr>
          <w:rFonts w:hint="default" w:ascii="Times New Roman" w:hAnsi="Times New Roman" w:eastAsia="宋体" w:cs="Times New Roman"/>
          <w:sz w:val="21"/>
          <w:szCs w:val="21"/>
        </w:rPr>
        <w:t>PP</w:t>
      </w:r>
      <w:r>
        <w:rPr>
          <w:rFonts w:hint="eastAsia" w:ascii="宋体" w:hAnsi="宋体" w:eastAsia="宋体" w:cs="宋体"/>
          <w:sz w:val="21"/>
          <w:szCs w:val="21"/>
        </w:rPr>
        <w:t>材料的市场合作。公司还拥有完整的光伏线产品认证资质和业内先进的光伏线生产线，研发的铝合金光伏线产品已获得市场认可。</w:t>
      </w:r>
    </w:p>
    <w:p>
      <w:pPr>
        <w:pStyle w:val="2"/>
        <w:keepNext w:val="0"/>
        <w:keepLines w:val="0"/>
        <w:widowControl/>
        <w:suppressLineNumbers w:val="0"/>
        <w:spacing w:before="157" w:beforeAutospacing="0" w:after="157" w:afterAutospacing="0" w:line="360" w:lineRule="auto"/>
        <w:ind w:left="0" w:right="0"/>
        <w:jc w:val="both"/>
        <w:rPr>
          <w:rFonts w:hint="default" w:ascii="Times New Roman" w:hAnsi="Times New Roman" w:cs="Times New Roman"/>
          <w:sz w:val="21"/>
          <w:szCs w:val="21"/>
        </w:rPr>
      </w:pPr>
      <w:r>
        <w:rPr>
          <w:rStyle w:val="5"/>
          <w:rFonts w:hint="eastAsia" w:ascii="宋体" w:hAnsi="宋体" w:eastAsia="宋体" w:cs="宋体"/>
          <w:b/>
          <w:bCs/>
          <w:sz w:val="21"/>
          <w:szCs w:val="21"/>
        </w:rPr>
        <w:t>医疗健康</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eastAsia" w:ascii="宋体" w:hAnsi="宋体" w:eastAsia="宋体" w:cs="宋体"/>
          <w:sz w:val="21"/>
          <w:szCs w:val="21"/>
        </w:rPr>
        <w:t>医疗健康领域，公司初步形成以“医疗装备+医用同位素”为核心的整体解决方案。医疗装备方面已实现</w:t>
      </w:r>
      <w:r>
        <w:rPr>
          <w:rFonts w:hint="default" w:ascii="Times New Roman" w:hAnsi="Times New Roman" w:eastAsia="宋体" w:cs="Times New Roman"/>
          <w:sz w:val="21"/>
          <w:szCs w:val="21"/>
        </w:rPr>
        <w:t>3</w:t>
      </w:r>
      <w:r>
        <w:rPr>
          <w:rFonts w:hint="eastAsia" w:ascii="宋体" w:hAnsi="宋体" w:eastAsia="宋体" w:cs="宋体"/>
          <w:sz w:val="21"/>
          <w:szCs w:val="21"/>
        </w:rPr>
        <w:t>台质子设备销售，国内</w:t>
      </w:r>
      <w:r>
        <w:rPr>
          <w:rFonts w:hint="default" w:ascii="Times New Roman" w:hAnsi="Times New Roman" w:eastAsia="宋体" w:cs="Times New Roman"/>
          <w:sz w:val="21"/>
          <w:szCs w:val="21"/>
        </w:rPr>
        <w:t>2021</w:t>
      </w:r>
      <w:r>
        <w:rPr>
          <w:rFonts w:hint="eastAsia" w:ascii="宋体" w:hAnsi="宋体" w:eastAsia="宋体" w:cs="宋体"/>
          <w:sz w:val="21"/>
          <w:szCs w:val="21"/>
        </w:rPr>
        <w:t>到</w:t>
      </w:r>
      <w:r>
        <w:rPr>
          <w:rFonts w:hint="default" w:ascii="Times New Roman" w:hAnsi="Times New Roman" w:eastAsia="宋体" w:cs="Times New Roman"/>
          <w:sz w:val="21"/>
          <w:szCs w:val="21"/>
        </w:rPr>
        <w:t>2022</w:t>
      </w:r>
      <w:r>
        <w:rPr>
          <w:rFonts w:hint="eastAsia" w:ascii="宋体" w:hAnsi="宋体" w:eastAsia="宋体" w:cs="宋体"/>
          <w:sz w:val="21"/>
          <w:szCs w:val="21"/>
        </w:rPr>
        <w:t>年签约的质子项目总共</w:t>
      </w:r>
      <w:r>
        <w:rPr>
          <w:rFonts w:hint="default" w:ascii="Times New Roman" w:hAnsi="Times New Roman" w:eastAsia="宋体" w:cs="Times New Roman"/>
          <w:sz w:val="21"/>
          <w:szCs w:val="21"/>
        </w:rPr>
        <w:t>4</w:t>
      </w:r>
      <w:r>
        <w:rPr>
          <w:rFonts w:hint="eastAsia" w:ascii="宋体" w:hAnsi="宋体" w:eastAsia="宋体" w:cs="宋体"/>
          <w:sz w:val="21"/>
          <w:szCs w:val="21"/>
        </w:rPr>
        <w:t>个，占比</w:t>
      </w:r>
      <w:r>
        <w:rPr>
          <w:rFonts w:hint="default" w:ascii="Times New Roman" w:hAnsi="Times New Roman" w:eastAsia="宋体" w:cs="Times New Roman"/>
          <w:sz w:val="21"/>
          <w:szCs w:val="21"/>
        </w:rPr>
        <w:t>75%</w:t>
      </w:r>
      <w:r>
        <w:rPr>
          <w:rFonts w:hint="eastAsia" w:ascii="宋体" w:hAnsi="宋体" w:eastAsia="宋体" w:cs="宋体"/>
          <w:sz w:val="21"/>
          <w:szCs w:val="21"/>
        </w:rPr>
        <w:t>。其中</w:t>
      </w:r>
      <w:r>
        <w:rPr>
          <w:rFonts w:hint="default" w:ascii="Times New Roman" w:hAnsi="Times New Roman" w:eastAsia="宋体" w:cs="Times New Roman"/>
          <w:sz w:val="21"/>
          <w:szCs w:val="21"/>
        </w:rPr>
        <w:t>2022</w:t>
      </w:r>
      <w:r>
        <w:rPr>
          <w:rFonts w:hint="eastAsia" w:ascii="宋体" w:hAnsi="宋体" w:eastAsia="宋体" w:cs="宋体"/>
          <w:sz w:val="21"/>
          <w:szCs w:val="21"/>
        </w:rPr>
        <w:t>年中标成都医投华西国际肿瘤治疗中心（质子重离子）项目；同时，与医科达中国开展战略合作，推动放射治疗精准化、标准化。医用同位素方面，公司与九院二所等</w:t>
      </w:r>
      <w:r>
        <w:rPr>
          <w:rFonts w:hint="default" w:ascii="Times New Roman" w:hAnsi="Times New Roman" w:eastAsia="宋体" w:cs="Times New Roman"/>
          <w:sz w:val="21"/>
          <w:szCs w:val="21"/>
        </w:rPr>
        <w:t>4</w:t>
      </w:r>
      <w:r>
        <w:rPr>
          <w:rFonts w:hint="eastAsia" w:ascii="宋体" w:hAnsi="宋体" w:eastAsia="宋体" w:cs="宋体"/>
          <w:sz w:val="21"/>
          <w:szCs w:val="21"/>
        </w:rPr>
        <w:t>家单位签署代销协议，为市场推广奠定良好基础。作为医疗健康产业的新进者，公司已全面启动质子肿瘤设备自主化、国产化工作；锗镓发生器制备出靶件样品并开展分离柱吸附试验，助力建设“健康中国”。</w:t>
      </w:r>
    </w:p>
    <w:p>
      <w:pPr>
        <w:pStyle w:val="2"/>
        <w:keepNext w:val="0"/>
        <w:keepLines w:val="0"/>
        <w:widowControl/>
        <w:suppressLineNumbers w:val="0"/>
        <w:spacing w:before="157" w:beforeAutospacing="0" w:after="157" w:afterAutospacing="0" w:line="360" w:lineRule="auto"/>
        <w:ind w:left="0" w:right="0"/>
        <w:jc w:val="both"/>
        <w:rPr>
          <w:rFonts w:hint="default" w:ascii="Times New Roman" w:hAnsi="Times New Roman" w:cs="Times New Roman"/>
          <w:sz w:val="21"/>
          <w:szCs w:val="21"/>
        </w:rPr>
      </w:pPr>
      <w:r>
        <w:rPr>
          <w:rStyle w:val="5"/>
          <w:rFonts w:hint="eastAsia" w:ascii="宋体" w:hAnsi="宋体" w:eastAsia="宋体" w:cs="宋体"/>
          <w:b/>
          <w:bCs/>
          <w:sz w:val="21"/>
          <w:szCs w:val="21"/>
        </w:rPr>
        <w:t>其它主要业务情况</w:t>
      </w:r>
    </w:p>
    <w:p>
      <w:pPr>
        <w:pStyle w:val="2"/>
        <w:keepNext w:val="0"/>
        <w:keepLines w:val="0"/>
        <w:widowControl/>
        <w:suppressLineNumbers w:val="0"/>
        <w:spacing w:before="157" w:beforeAutospacing="0" w:after="157" w:afterAutospacing="0" w:line="360" w:lineRule="auto"/>
        <w:ind w:left="0" w:right="0"/>
        <w:jc w:val="both"/>
        <w:rPr>
          <w:rFonts w:hint="default" w:ascii="Times New Roman" w:hAnsi="Times New Roman" w:cs="Times New Roman"/>
          <w:sz w:val="21"/>
          <w:szCs w:val="21"/>
        </w:rPr>
      </w:pPr>
      <w:r>
        <w:rPr>
          <w:rStyle w:val="5"/>
          <w:rFonts w:hint="eastAsia" w:ascii="宋体" w:hAnsi="宋体" w:eastAsia="宋体" w:cs="宋体"/>
          <w:b/>
          <w:bCs/>
          <w:sz w:val="21"/>
          <w:szCs w:val="21"/>
        </w:rPr>
        <w:t>远洋运输业务</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eastAsia" w:ascii="宋体" w:hAnsi="宋体" w:eastAsia="宋体" w:cs="宋体"/>
          <w:sz w:val="21"/>
          <w:szCs w:val="21"/>
        </w:rPr>
        <w:t>公司控股子公司</w:t>
      </w:r>
      <w:r>
        <w:rPr>
          <w:rFonts w:hint="default" w:ascii="Times New Roman" w:hAnsi="Times New Roman" w:eastAsia="宋体" w:cs="Times New Roman"/>
          <w:sz w:val="21"/>
          <w:szCs w:val="21"/>
        </w:rPr>
        <w:t>——</w:t>
      </w:r>
      <w:r>
        <w:rPr>
          <w:rFonts w:hint="eastAsia" w:ascii="宋体" w:hAnsi="宋体" w:eastAsia="宋体" w:cs="宋体"/>
          <w:sz w:val="21"/>
          <w:szCs w:val="21"/>
        </w:rPr>
        <w:t>大新控股负责公司远洋运输业务，主要经营国际海上货物运输、船舶投资、船舶租赁、船舶管理等业务。大新控股在船舶运营管理方面专业化水平较高，管理能力比较强。享受注册地新加坡航运业相关税收优惠政策。</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default" w:ascii="Times New Roman" w:hAnsi="Times New Roman" w:eastAsia="宋体" w:cs="Times New Roman"/>
          <w:sz w:val="21"/>
          <w:szCs w:val="21"/>
        </w:rPr>
        <w:t>2022</w:t>
      </w:r>
      <w:r>
        <w:rPr>
          <w:rFonts w:hint="eastAsia" w:ascii="宋体" w:hAnsi="宋体" w:eastAsia="宋体" w:cs="宋体"/>
          <w:sz w:val="21"/>
          <w:szCs w:val="21"/>
        </w:rPr>
        <w:t>年国际航运市场开局良好，下半年受经济运行因素变化带来的货运量减少、有效运力增长、大宗商品量价齐跌等诸多因素影响，航运市场行情下跌，全年呈现先扬后抑走势。波罗的海干散货指数(BDI)从年初</w:t>
      </w:r>
      <w:r>
        <w:rPr>
          <w:rFonts w:hint="default" w:ascii="Times New Roman" w:hAnsi="Times New Roman" w:eastAsia="宋体" w:cs="Times New Roman"/>
          <w:sz w:val="21"/>
          <w:szCs w:val="21"/>
        </w:rPr>
        <w:t>2,285</w:t>
      </w:r>
      <w:r>
        <w:rPr>
          <w:rFonts w:hint="eastAsia" w:ascii="宋体" w:hAnsi="宋体" w:eastAsia="宋体" w:cs="宋体"/>
          <w:sz w:val="21"/>
          <w:szCs w:val="21"/>
        </w:rPr>
        <w:t>点波动式上涨到</w:t>
      </w:r>
      <w:r>
        <w:rPr>
          <w:rFonts w:hint="default" w:ascii="Times New Roman" w:hAnsi="Times New Roman" w:eastAsia="宋体" w:cs="Times New Roman"/>
          <w:sz w:val="21"/>
          <w:szCs w:val="21"/>
        </w:rPr>
        <w:t>5</w:t>
      </w:r>
      <w:r>
        <w:rPr>
          <w:rFonts w:hint="eastAsia" w:ascii="宋体" w:hAnsi="宋体" w:eastAsia="宋体" w:cs="宋体"/>
          <w:sz w:val="21"/>
          <w:szCs w:val="21"/>
        </w:rPr>
        <w:t>月</w:t>
      </w:r>
      <w:r>
        <w:rPr>
          <w:rFonts w:hint="default" w:ascii="Times New Roman" w:hAnsi="Times New Roman" w:eastAsia="宋体" w:cs="Times New Roman"/>
          <w:sz w:val="21"/>
          <w:szCs w:val="21"/>
        </w:rPr>
        <w:t>23</w:t>
      </w:r>
      <w:r>
        <w:rPr>
          <w:rFonts w:hint="eastAsia" w:ascii="宋体" w:hAnsi="宋体" w:eastAsia="宋体" w:cs="宋体"/>
          <w:sz w:val="21"/>
          <w:szCs w:val="21"/>
        </w:rPr>
        <w:t>日</w:t>
      </w:r>
      <w:r>
        <w:rPr>
          <w:rFonts w:hint="default" w:ascii="Times New Roman" w:hAnsi="Times New Roman" w:eastAsia="宋体" w:cs="Times New Roman"/>
          <w:sz w:val="21"/>
          <w:szCs w:val="21"/>
        </w:rPr>
        <w:t>3,369</w:t>
      </w:r>
      <w:r>
        <w:rPr>
          <w:rFonts w:hint="eastAsia" w:ascii="宋体" w:hAnsi="宋体" w:eastAsia="宋体" w:cs="宋体"/>
          <w:sz w:val="21"/>
          <w:szCs w:val="21"/>
        </w:rPr>
        <w:t>点的年度最高点后，</w:t>
      </w:r>
      <w:r>
        <w:rPr>
          <w:rFonts w:hint="default" w:ascii="Times New Roman" w:hAnsi="Times New Roman" w:eastAsia="宋体" w:cs="Times New Roman"/>
          <w:sz w:val="21"/>
          <w:szCs w:val="21"/>
        </w:rPr>
        <w:t>12</w:t>
      </w:r>
      <w:r>
        <w:rPr>
          <w:rFonts w:hint="eastAsia" w:ascii="宋体" w:hAnsi="宋体" w:eastAsia="宋体" w:cs="宋体"/>
          <w:sz w:val="21"/>
          <w:szCs w:val="21"/>
        </w:rPr>
        <w:t>月末回落至</w:t>
      </w:r>
      <w:r>
        <w:rPr>
          <w:rFonts w:hint="default" w:ascii="Times New Roman" w:hAnsi="Times New Roman" w:eastAsia="宋体" w:cs="Times New Roman"/>
          <w:sz w:val="21"/>
          <w:szCs w:val="21"/>
        </w:rPr>
        <w:t>1,515</w:t>
      </w:r>
      <w:r>
        <w:rPr>
          <w:rFonts w:hint="eastAsia" w:ascii="宋体" w:hAnsi="宋体" w:eastAsia="宋体" w:cs="宋体"/>
          <w:sz w:val="21"/>
          <w:szCs w:val="21"/>
        </w:rPr>
        <w:t>点。</w:t>
      </w:r>
    </w:p>
    <w:p>
      <w:pPr>
        <w:pStyle w:val="2"/>
        <w:keepNext w:val="0"/>
        <w:keepLines w:val="0"/>
        <w:widowControl/>
        <w:suppressLineNumbers w:val="0"/>
        <w:spacing w:before="157" w:beforeAutospacing="0" w:after="157" w:afterAutospacing="0" w:line="360" w:lineRule="auto"/>
        <w:ind w:left="0" w:right="0"/>
        <w:jc w:val="both"/>
        <w:rPr>
          <w:rFonts w:hint="default" w:ascii="Times New Roman" w:hAnsi="Times New Roman" w:cs="Times New Roman"/>
          <w:sz w:val="21"/>
          <w:szCs w:val="21"/>
        </w:rPr>
      </w:pPr>
      <w:r>
        <w:rPr>
          <w:rFonts w:hint="default" w:ascii="Times New Roman" w:hAnsi="Times New Roman" w:eastAsia="宋体" w:cs="Times New Roman"/>
          <w:sz w:val="21"/>
          <w:szCs w:val="21"/>
        </w:rPr>
        <w:t>2022</w:t>
      </w:r>
      <w:r>
        <w:rPr>
          <w:rFonts w:hint="eastAsia" w:ascii="宋体" w:hAnsi="宋体" w:eastAsia="宋体" w:cs="宋体"/>
          <w:sz w:val="21"/>
          <w:szCs w:val="21"/>
        </w:rPr>
        <w:t>年大新控股抓住市场机遇出售</w:t>
      </w:r>
      <w:r>
        <w:rPr>
          <w:rFonts w:hint="default" w:ascii="Times New Roman" w:hAnsi="Times New Roman" w:eastAsia="宋体" w:cs="Times New Roman"/>
          <w:sz w:val="21"/>
          <w:szCs w:val="21"/>
        </w:rPr>
        <w:t>6</w:t>
      </w:r>
      <w:r>
        <w:rPr>
          <w:rFonts w:hint="eastAsia" w:ascii="宋体" w:hAnsi="宋体" w:eastAsia="宋体" w:cs="宋体"/>
          <w:sz w:val="21"/>
          <w:szCs w:val="21"/>
        </w:rPr>
        <w:t>艘船舶，尽管全年合同额、营业额因出售船舶等原因低于上年同期，但利润总额超过上年同期，创造了可观的经营业绩。</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default" w:ascii="Times New Roman" w:hAnsi="Times New Roman" w:eastAsia="宋体" w:cs="Times New Roman"/>
          <w:sz w:val="21"/>
          <w:szCs w:val="21"/>
        </w:rPr>
        <w:t>2023</w:t>
      </w:r>
      <w:r>
        <w:rPr>
          <w:rFonts w:hint="eastAsia" w:ascii="宋体" w:hAnsi="宋体" w:eastAsia="宋体" w:cs="宋体"/>
          <w:sz w:val="21"/>
          <w:szCs w:val="21"/>
        </w:rPr>
        <w:t>年公司将把握航运市场行情，科学研判，采取挂钩指数、长期与中短期固定租金相结合的方式，尽量提高租金收入。拓展并优化客户结构，加强船舶安全运营管理，提高船舶运营率。持续关注全球二手船舶市场行情，择机处置部分船舶资产，力争获得较好收益。</w:t>
      </w:r>
    </w:p>
    <w:p>
      <w:pPr>
        <w:pStyle w:val="2"/>
        <w:keepNext w:val="0"/>
        <w:keepLines w:val="0"/>
        <w:widowControl/>
        <w:suppressLineNumbers w:val="0"/>
        <w:spacing w:before="157" w:beforeAutospacing="0" w:after="157" w:afterAutospacing="0" w:line="360" w:lineRule="auto"/>
        <w:ind w:left="0" w:right="0"/>
        <w:jc w:val="both"/>
        <w:rPr>
          <w:rFonts w:hint="default" w:ascii="Times New Roman" w:hAnsi="Times New Roman" w:cs="Times New Roman"/>
          <w:sz w:val="21"/>
          <w:szCs w:val="21"/>
        </w:rPr>
      </w:pPr>
      <w:r>
        <w:rPr>
          <w:rStyle w:val="5"/>
          <w:rFonts w:hint="eastAsia" w:ascii="宋体" w:hAnsi="宋体" w:eastAsia="宋体" w:cs="宋体"/>
          <w:b/>
          <w:bCs/>
          <w:sz w:val="21"/>
          <w:szCs w:val="21"/>
        </w:rPr>
        <w:t>远洋渔业业务</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eastAsia" w:ascii="宋体" w:hAnsi="宋体" w:eastAsia="宋体" w:cs="宋体"/>
          <w:sz w:val="21"/>
          <w:szCs w:val="21"/>
        </w:rPr>
        <w:t>公司控股子公司</w:t>
      </w:r>
      <w:r>
        <w:rPr>
          <w:rFonts w:hint="default" w:ascii="Times New Roman" w:hAnsi="Times New Roman" w:eastAsia="宋体" w:cs="Times New Roman"/>
          <w:sz w:val="21"/>
          <w:szCs w:val="21"/>
        </w:rPr>
        <w:t>——</w:t>
      </w:r>
      <w:r>
        <w:rPr>
          <w:rFonts w:hint="eastAsia" w:ascii="宋体" w:hAnsi="宋体" w:eastAsia="宋体" w:cs="宋体"/>
          <w:sz w:val="21"/>
          <w:szCs w:val="21"/>
        </w:rPr>
        <w:t>远洋渔业负责公司远洋渔业业务，拥有农业部远洋渔业企业资质，是中国较早走出国门到海外发展远洋渔业企业。</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default" w:ascii="Times New Roman" w:hAnsi="Times New Roman" w:eastAsia="宋体" w:cs="Times New Roman"/>
          <w:sz w:val="21"/>
          <w:szCs w:val="21"/>
        </w:rPr>
        <w:t>2022</w:t>
      </w:r>
      <w:r>
        <w:rPr>
          <w:rFonts w:hint="eastAsia" w:ascii="宋体" w:hAnsi="宋体" w:eastAsia="宋体" w:cs="宋体"/>
          <w:sz w:val="21"/>
          <w:szCs w:val="21"/>
        </w:rPr>
        <w:t>年客观原因的持续导致公司鱼货仓储费用等居高不下，因俄乌战争等因素导致船油价格大幅上涨，对业务经营造成较大影响。公司通过强化船队科学合理调度，加强捕捞作业管理，把控销售节奏，保持经营业绩的稳定。</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default" w:ascii="Times New Roman" w:hAnsi="Times New Roman" w:eastAsia="宋体" w:cs="Times New Roman"/>
          <w:sz w:val="21"/>
          <w:szCs w:val="21"/>
        </w:rPr>
        <w:t>2023</w:t>
      </w:r>
      <w:r>
        <w:rPr>
          <w:rFonts w:hint="eastAsia" w:ascii="宋体" w:hAnsi="宋体" w:eastAsia="宋体" w:cs="宋体"/>
          <w:sz w:val="21"/>
          <w:szCs w:val="21"/>
        </w:rPr>
        <w:t>年公司将进一步提升鱿鱼钓船的生产装备水平，提高作业效率和产能。同时，继续加强各船队的安全生产管理，合理、科学调度作业船舶，不断提升鱼品产量产值。同时，公司将采取一切措施有效降低生产运营成本，保持经济效益增长。</w:t>
      </w:r>
    </w:p>
    <w:p>
      <w:pPr>
        <w:pStyle w:val="2"/>
        <w:keepNext w:val="0"/>
        <w:keepLines w:val="0"/>
        <w:widowControl/>
        <w:suppressLineNumbers w:val="0"/>
        <w:spacing w:before="157" w:beforeAutospacing="0" w:after="157" w:afterAutospacing="0" w:line="360" w:lineRule="auto"/>
        <w:ind w:left="0" w:right="0"/>
        <w:jc w:val="both"/>
        <w:rPr>
          <w:rFonts w:hint="default" w:ascii="Times New Roman" w:hAnsi="Times New Roman" w:cs="Times New Roman"/>
          <w:sz w:val="21"/>
          <w:szCs w:val="21"/>
        </w:rPr>
      </w:pPr>
      <w:r>
        <w:rPr>
          <w:rStyle w:val="5"/>
          <w:rFonts w:hint="eastAsia" w:ascii="宋体" w:hAnsi="宋体" w:eastAsia="宋体" w:cs="宋体"/>
          <w:b/>
          <w:bCs/>
          <w:sz w:val="21"/>
          <w:szCs w:val="21"/>
        </w:rPr>
        <w:t>进出口贸易业务</w:t>
      </w:r>
    </w:p>
    <w:p>
      <w:pPr>
        <w:pStyle w:val="2"/>
        <w:keepNext w:val="0"/>
        <w:keepLines w:val="0"/>
        <w:widowControl/>
        <w:suppressLineNumbers w:val="0"/>
        <w:spacing w:before="157" w:beforeAutospacing="0" w:after="157" w:afterAutospacing="0" w:line="360" w:lineRule="auto"/>
        <w:ind w:left="0" w:right="0" w:firstLine="0"/>
        <w:jc w:val="both"/>
        <w:rPr>
          <w:rFonts w:hint="default" w:ascii="Times New Roman" w:hAnsi="Times New Roman" w:cs="Times New Roman"/>
          <w:sz w:val="21"/>
          <w:szCs w:val="21"/>
        </w:rPr>
      </w:pPr>
      <w:r>
        <w:rPr>
          <w:rFonts w:hint="default" w:ascii="Times New Roman" w:hAnsi="Times New Roman" w:eastAsia="宋体" w:cs="Times New Roman"/>
          <w:sz w:val="21"/>
          <w:szCs w:val="21"/>
        </w:rPr>
        <w:t>2022</w:t>
      </w:r>
      <w:r>
        <w:rPr>
          <w:rFonts w:hint="eastAsia" w:ascii="宋体" w:hAnsi="宋体" w:eastAsia="宋体" w:cs="宋体"/>
          <w:sz w:val="21"/>
          <w:szCs w:val="21"/>
        </w:rPr>
        <w:t>年面对复杂多变的经济形势和贸易环境，公司积极防范经营风险，稳慎开拓业务品类，在保持平行进口车进口代理业务稳定的基础上，持续提升公司的创利能力。</w:t>
      </w:r>
    </w:p>
    <w:p>
      <w:pPr>
        <w:pStyle w:val="2"/>
        <w:keepNext w:val="0"/>
        <w:keepLines w:val="0"/>
        <w:widowControl/>
        <w:suppressLineNumbers w:val="0"/>
        <w:spacing w:before="157" w:beforeAutospacing="0" w:after="157" w:afterAutospacing="0" w:line="360" w:lineRule="auto"/>
        <w:ind w:left="0" w:right="0"/>
        <w:jc w:val="both"/>
        <w:rPr>
          <w:rFonts w:hint="default" w:ascii="Times New Roman" w:hAnsi="Times New Roman" w:cs="Times New Roman"/>
          <w:sz w:val="21"/>
          <w:szCs w:val="21"/>
        </w:rPr>
      </w:pPr>
      <w:r>
        <w:rPr>
          <w:rFonts w:hint="default" w:ascii="Times New Roman" w:hAnsi="Times New Roman" w:eastAsia="宋体" w:cs="Times New Roman"/>
          <w:sz w:val="21"/>
          <w:szCs w:val="21"/>
        </w:rPr>
        <w:t>2023</w:t>
      </w:r>
      <w:r>
        <w:rPr>
          <w:rFonts w:hint="eastAsia" w:ascii="宋体" w:hAnsi="宋体" w:eastAsia="宋体" w:cs="宋体"/>
          <w:sz w:val="21"/>
          <w:szCs w:val="21"/>
        </w:rPr>
        <w:t>年公司将继续强化风险管控，保障业务稳定发展。</w:t>
      </w:r>
    </w:p>
    <w:p>
      <w:pPr>
        <w:keepNext/>
        <w:keepLines/>
        <w:spacing w:before="300" w:after="300" w:line="280" w:lineRule="exact"/>
        <w:jc w:val="left"/>
        <w:outlineLvl w:val="2"/>
        <w:rPr>
          <w:rFonts w:ascii="宋体" w:hAnsi="宋体" w:eastAsia="宋体" w:cs="宋体"/>
          <w:b/>
          <w:bCs/>
          <w:sz w:val="21"/>
          <w:szCs w:val="21"/>
        </w:rPr>
      </w:pPr>
      <w:bookmarkStart w:id="4" w:name="_Toc988893"/>
      <w:r>
        <w:rPr>
          <w:rFonts w:ascii="宋体" w:hAnsi="宋体" w:eastAsia="宋体" w:cs="宋体"/>
          <w:b/>
          <w:bCs/>
          <w:sz w:val="21"/>
          <w:szCs w:val="21"/>
        </w:rPr>
        <w:t>3、主要会计数据和财务指标</w:t>
      </w:r>
      <w:bookmarkEnd w:id="4"/>
    </w:p>
    <w:p>
      <w:pPr>
        <w:keepNext/>
        <w:keepLines/>
        <w:spacing w:before="300" w:after="300" w:line="280" w:lineRule="exact"/>
        <w:jc w:val="left"/>
        <w:outlineLvl w:val="3"/>
        <w:rPr>
          <w:rFonts w:ascii="宋体" w:hAnsi="宋体" w:eastAsia="宋体" w:cs="宋体"/>
          <w:b/>
          <w:bCs/>
          <w:sz w:val="21"/>
          <w:szCs w:val="21"/>
        </w:rPr>
      </w:pPr>
      <w:bookmarkStart w:id="5" w:name="_Toc988894"/>
      <w:r>
        <w:rPr>
          <w:rFonts w:ascii="宋体" w:hAnsi="宋体" w:eastAsia="宋体" w:cs="宋体"/>
          <w:b/>
          <w:bCs/>
          <w:sz w:val="21"/>
          <w:szCs w:val="21"/>
        </w:rPr>
        <w:t>（1） 近三年主要会计数据和财务指标</w:t>
      </w:r>
      <w:bookmarkEnd w:id="5"/>
    </w:p>
    <w:p>
      <w:pPr>
        <w:spacing w:before="100" w:after="100" w:line="240" w:lineRule="exact"/>
        <w:jc w:val="left"/>
        <w:rPr>
          <w:rFonts w:ascii="宋体" w:hAnsi="宋体" w:eastAsia="宋体" w:cs="宋体"/>
          <w:sz w:val="21"/>
          <w:szCs w:val="21"/>
        </w:rPr>
      </w:pPr>
      <w:r>
        <w:rPr>
          <w:rFonts w:ascii="宋体" w:hAnsi="宋体" w:eastAsia="宋体" w:cs="宋体"/>
          <w:sz w:val="21"/>
          <w:szCs w:val="21"/>
        </w:rPr>
        <w:t>公司是否需追溯调整或重述以前年度会计数据</w:t>
      </w:r>
    </w:p>
    <w:p>
      <w:pPr>
        <w:spacing w:before="100" w:after="100" w:line="240" w:lineRule="exact"/>
        <w:jc w:val="left"/>
        <w:rPr>
          <w:rFonts w:ascii="宋体" w:hAnsi="宋体" w:eastAsia="宋体" w:cs="宋体"/>
          <w:sz w:val="21"/>
          <w:szCs w:val="21"/>
        </w:rPr>
      </w:pPr>
      <w:r>
        <w:rPr>
          <w:rFonts w:ascii="宋体" w:hAnsi="宋体" w:eastAsia="宋体" w:cs="宋体"/>
          <w:sz w:val="21"/>
          <w:szCs w:val="21"/>
        </w:rPr>
        <w:t xml:space="preserve">□是 </w:t>
      </w:r>
      <w:r>
        <w:rPr>
          <w:rFonts w:ascii="宋体" w:hAnsi="宋体" w:eastAsia="宋体" w:cs="宋体"/>
          <w:sz w:val="21"/>
          <w:szCs w:val="21"/>
        </w:rPr>
        <w:sym w:font="Wingdings 2" w:char="F052"/>
      </w:r>
      <w:r>
        <w:rPr>
          <w:rFonts w:ascii="宋体" w:hAnsi="宋体" w:eastAsia="宋体" w:cs="宋体"/>
          <w:sz w:val="21"/>
          <w:szCs w:val="21"/>
        </w:rPr>
        <w:t>否</w:t>
      </w:r>
    </w:p>
    <w:p>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85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3051"/>
        <w:gridCol w:w="1800"/>
        <w:gridCol w:w="1868"/>
        <w:gridCol w:w="1296"/>
        <w:gridCol w:w="184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51"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80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2022年末</w:t>
            </w:r>
          </w:p>
        </w:tc>
        <w:tc>
          <w:tcPr>
            <w:tcW w:w="186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2021年末</w:t>
            </w:r>
          </w:p>
        </w:tc>
        <w:tc>
          <w:tcPr>
            <w:tcW w:w="129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本年末比上年末增减</w:t>
            </w:r>
          </w:p>
        </w:tc>
        <w:tc>
          <w:tcPr>
            <w:tcW w:w="184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2020年末</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5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总资产</w:t>
            </w:r>
          </w:p>
        </w:tc>
        <w:tc>
          <w:tcPr>
            <w:tcW w:w="180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11,972,423,061.82</w:t>
            </w:r>
          </w:p>
        </w:tc>
        <w:tc>
          <w:tcPr>
            <w:tcW w:w="186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13,322,236,426.35</w:t>
            </w:r>
          </w:p>
        </w:tc>
        <w:tc>
          <w:tcPr>
            <w:tcW w:w="129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-10.13%</w:t>
            </w:r>
          </w:p>
        </w:tc>
        <w:tc>
          <w:tcPr>
            <w:tcW w:w="184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12,319,715,091.57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5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归属于上市公司股东的净资产</w:t>
            </w:r>
          </w:p>
        </w:tc>
        <w:tc>
          <w:tcPr>
            <w:tcW w:w="180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6,326,079,639.87</w:t>
            </w:r>
          </w:p>
        </w:tc>
        <w:tc>
          <w:tcPr>
            <w:tcW w:w="186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6,102,062,628.27</w:t>
            </w:r>
          </w:p>
        </w:tc>
        <w:tc>
          <w:tcPr>
            <w:tcW w:w="129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3.67%</w:t>
            </w:r>
          </w:p>
        </w:tc>
        <w:tc>
          <w:tcPr>
            <w:tcW w:w="184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5,969,876,957.74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3051"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800"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2022年</w:t>
            </w:r>
          </w:p>
        </w:tc>
        <w:tc>
          <w:tcPr>
            <w:tcW w:w="186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2021年</w:t>
            </w:r>
          </w:p>
        </w:tc>
        <w:tc>
          <w:tcPr>
            <w:tcW w:w="1296"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本年比上年增减</w:t>
            </w:r>
          </w:p>
        </w:tc>
        <w:tc>
          <w:tcPr>
            <w:tcW w:w="184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2020年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5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营业收入</w:t>
            </w:r>
          </w:p>
        </w:tc>
        <w:tc>
          <w:tcPr>
            <w:tcW w:w="180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6,944,907,174.49</w:t>
            </w:r>
          </w:p>
        </w:tc>
        <w:tc>
          <w:tcPr>
            <w:tcW w:w="186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7,998,857,682.91</w:t>
            </w:r>
          </w:p>
        </w:tc>
        <w:tc>
          <w:tcPr>
            <w:tcW w:w="129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-13.18%</w:t>
            </w:r>
          </w:p>
        </w:tc>
        <w:tc>
          <w:tcPr>
            <w:tcW w:w="184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6,651,679,590.05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5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归属于上市公司股东的净利润</w:t>
            </w:r>
          </w:p>
        </w:tc>
        <w:tc>
          <w:tcPr>
            <w:tcW w:w="180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198,751,228.01</w:t>
            </w:r>
          </w:p>
        </w:tc>
        <w:tc>
          <w:tcPr>
            <w:tcW w:w="186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176,723,237.79</w:t>
            </w:r>
          </w:p>
        </w:tc>
        <w:tc>
          <w:tcPr>
            <w:tcW w:w="129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12.46%</w:t>
            </w:r>
          </w:p>
        </w:tc>
        <w:tc>
          <w:tcPr>
            <w:tcW w:w="184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271,123,164.82</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5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归属于上市公司股东的扣除非经常性损益的净利润</w:t>
            </w:r>
          </w:p>
        </w:tc>
        <w:tc>
          <w:tcPr>
            <w:tcW w:w="180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-67,036,499.95</w:t>
            </w:r>
          </w:p>
        </w:tc>
        <w:tc>
          <w:tcPr>
            <w:tcW w:w="186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53,309,874.16</w:t>
            </w:r>
          </w:p>
        </w:tc>
        <w:tc>
          <w:tcPr>
            <w:tcW w:w="129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-225.75%</w:t>
            </w:r>
          </w:p>
        </w:tc>
        <w:tc>
          <w:tcPr>
            <w:tcW w:w="184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179,764,504.15</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5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经营活动产生的现金流量净额</w:t>
            </w:r>
          </w:p>
        </w:tc>
        <w:tc>
          <w:tcPr>
            <w:tcW w:w="180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563,624,947.09</w:t>
            </w:r>
          </w:p>
        </w:tc>
        <w:tc>
          <w:tcPr>
            <w:tcW w:w="186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475,720,066.83</w:t>
            </w:r>
          </w:p>
        </w:tc>
        <w:tc>
          <w:tcPr>
            <w:tcW w:w="129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18.48%</w:t>
            </w:r>
          </w:p>
        </w:tc>
        <w:tc>
          <w:tcPr>
            <w:tcW w:w="184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547,361,013.97</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5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基本每股收益（元/股）</w:t>
            </w:r>
          </w:p>
        </w:tc>
        <w:tc>
          <w:tcPr>
            <w:tcW w:w="180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0.2102</w:t>
            </w:r>
          </w:p>
        </w:tc>
        <w:tc>
          <w:tcPr>
            <w:tcW w:w="186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0.1869</w:t>
            </w:r>
          </w:p>
        </w:tc>
        <w:tc>
          <w:tcPr>
            <w:tcW w:w="129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12.47%</w:t>
            </w:r>
          </w:p>
        </w:tc>
        <w:tc>
          <w:tcPr>
            <w:tcW w:w="184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0.2868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5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稀释每股收益（元/股）</w:t>
            </w:r>
          </w:p>
        </w:tc>
        <w:tc>
          <w:tcPr>
            <w:tcW w:w="180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0.2102</w:t>
            </w:r>
          </w:p>
        </w:tc>
        <w:tc>
          <w:tcPr>
            <w:tcW w:w="186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0.1869</w:t>
            </w:r>
          </w:p>
        </w:tc>
        <w:tc>
          <w:tcPr>
            <w:tcW w:w="129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12.47%</w:t>
            </w:r>
          </w:p>
        </w:tc>
        <w:tc>
          <w:tcPr>
            <w:tcW w:w="184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0.2868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3051"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加权平均净资产收益率</w:t>
            </w:r>
          </w:p>
        </w:tc>
        <w:tc>
          <w:tcPr>
            <w:tcW w:w="1800"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3.20%</w:t>
            </w:r>
          </w:p>
        </w:tc>
        <w:tc>
          <w:tcPr>
            <w:tcW w:w="186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2.93%</w:t>
            </w:r>
          </w:p>
        </w:tc>
        <w:tc>
          <w:tcPr>
            <w:tcW w:w="129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0.27%</w:t>
            </w:r>
          </w:p>
        </w:tc>
        <w:tc>
          <w:tcPr>
            <w:tcW w:w="1841"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4.62%</w:t>
            </w:r>
          </w:p>
        </w:tc>
      </w:tr>
    </w:tbl>
    <w:p>
      <w:pPr>
        <w:keepNext/>
        <w:keepLines/>
        <w:spacing w:before="300" w:after="300" w:line="280" w:lineRule="exact"/>
        <w:jc w:val="left"/>
        <w:outlineLvl w:val="3"/>
        <w:rPr>
          <w:rFonts w:ascii="宋体" w:hAnsi="宋体" w:eastAsia="宋体" w:cs="宋体"/>
          <w:b/>
          <w:bCs/>
          <w:sz w:val="21"/>
          <w:szCs w:val="21"/>
        </w:rPr>
      </w:pPr>
      <w:bookmarkStart w:id="6" w:name="_Toc988895"/>
      <w:r>
        <w:rPr>
          <w:rFonts w:ascii="宋体" w:hAnsi="宋体" w:eastAsia="宋体" w:cs="宋体"/>
          <w:b/>
          <w:bCs/>
          <w:sz w:val="21"/>
          <w:szCs w:val="21"/>
        </w:rPr>
        <w:t>（2） 分季度主要会计数据</w:t>
      </w:r>
      <w:bookmarkEnd w:id="6"/>
    </w:p>
    <w:p>
      <w:pPr>
        <w:spacing w:before="120" w:after="120" w:line="240" w:lineRule="exact"/>
        <w:jc w:val="right"/>
        <w:rPr>
          <w:rFonts w:ascii="宋体" w:hAnsi="宋体" w:eastAsia="宋体" w:cs="宋体"/>
          <w:sz w:val="18"/>
          <w:szCs w:val="18"/>
        </w:rPr>
      </w:pPr>
      <w:r>
        <w:rPr>
          <w:rFonts w:ascii="宋体" w:hAnsi="宋体" w:eastAsia="宋体" w:cs="宋体"/>
          <w:sz w:val="18"/>
          <w:szCs w:val="18"/>
        </w:rPr>
        <w:t>单位：元</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928"/>
        <w:gridCol w:w="1928"/>
        <w:gridCol w:w="1928"/>
        <w:gridCol w:w="1928"/>
        <w:gridCol w:w="192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第一季度</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第二季度</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第三季度</w:t>
            </w:r>
          </w:p>
        </w:tc>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第四季度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营业收入</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1,964,657,949.31</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2,350,160,341.18</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2,168,734,429.12</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461,354,454.88</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归属于上市公司股东的净利润</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38,099,280.83</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85,729,520.16</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87,451,561.53</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-12,529,134.51</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归属于上市公司股东的扣除非经常性损益的净利润</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-25,589,221.02</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23,451,023.21</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-58,227,758.00</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-6,670,544.14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928"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经营活动产生的现金流量净额</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-61,231,440.33</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164,171,385.16</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213,236,010.83</w:t>
            </w:r>
          </w:p>
        </w:tc>
        <w:tc>
          <w:tcPr>
            <w:tcW w:w="1928"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247,448,991.43</w:t>
            </w:r>
          </w:p>
        </w:tc>
      </w:tr>
    </w:tbl>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both"/>
        <w:textAlignment w:val="auto"/>
        <w:rPr>
          <w:rFonts w:hint="eastAsia" w:ascii="Times New Roman" w:hAnsi="Times New Roman" w:eastAsia="宋体" w:cs="Times New Roman"/>
          <w:sz w:val="18"/>
          <w:szCs w:val="18"/>
        </w:rPr>
      </w:pPr>
      <w:r>
        <w:rPr>
          <w:rFonts w:hint="eastAsia" w:ascii="Times New Roman" w:hAnsi="Times New Roman" w:eastAsia="宋体" w:cs="Times New Roman"/>
          <w:sz w:val="18"/>
          <w:szCs w:val="18"/>
          <w:lang w:val="en-US" w:eastAsia="zh-CN"/>
        </w:rPr>
        <w:t>注：</w:t>
      </w:r>
      <w:r>
        <w:rPr>
          <w:rFonts w:hint="eastAsia" w:ascii="Times New Roman" w:hAnsi="Times New Roman" w:eastAsia="宋体" w:cs="Times New Roman"/>
          <w:sz w:val="18"/>
          <w:szCs w:val="18"/>
        </w:rPr>
        <w:t>为了更清晰地反映公司经营成果及现金流量，突出主责主业，基于谨慎性原则，在第四季度将全年汽车进口贸易业务收入按净额法调整，本调整不影响公司净利润、所有者权益。</w:t>
      </w:r>
    </w:p>
    <w:p>
      <w:pPr>
        <w:keepNext/>
        <w:keepLines/>
        <w:spacing w:before="300" w:after="300" w:line="280" w:lineRule="exact"/>
        <w:jc w:val="left"/>
        <w:outlineLvl w:val="2"/>
        <w:rPr>
          <w:rFonts w:ascii="宋体" w:hAnsi="宋体" w:eastAsia="宋体" w:cs="宋体"/>
          <w:b/>
          <w:bCs/>
          <w:sz w:val="21"/>
          <w:szCs w:val="21"/>
        </w:rPr>
      </w:pPr>
      <w:bookmarkStart w:id="7" w:name="_Toc988896"/>
      <w:r>
        <w:rPr>
          <w:rFonts w:ascii="宋体" w:hAnsi="宋体" w:eastAsia="宋体" w:cs="宋体"/>
          <w:b/>
          <w:bCs/>
          <w:sz w:val="21"/>
          <w:szCs w:val="21"/>
        </w:rPr>
        <w:t>4、股本及股东情况</w:t>
      </w:r>
      <w:bookmarkEnd w:id="7"/>
    </w:p>
    <w:p>
      <w:pPr>
        <w:keepNext/>
        <w:keepLines/>
        <w:spacing w:before="300" w:after="300" w:line="280" w:lineRule="exact"/>
        <w:jc w:val="left"/>
        <w:outlineLvl w:val="3"/>
        <w:rPr>
          <w:rFonts w:ascii="宋体" w:hAnsi="宋体" w:eastAsia="宋体" w:cs="宋体"/>
          <w:b/>
          <w:bCs/>
          <w:sz w:val="21"/>
          <w:szCs w:val="21"/>
        </w:rPr>
      </w:pPr>
      <w:bookmarkStart w:id="8" w:name="_Toc988897"/>
      <w:r>
        <w:rPr>
          <w:rFonts w:ascii="宋体" w:hAnsi="宋体" w:eastAsia="宋体" w:cs="宋体"/>
          <w:b/>
          <w:bCs/>
          <w:sz w:val="21"/>
          <w:szCs w:val="21"/>
        </w:rPr>
        <w:t>（1） 普通股股东和表决权恢复的优先股股东数量及前10名股东持股情况表</w:t>
      </w:r>
      <w:bookmarkEnd w:id="8"/>
    </w:p>
    <w:p>
      <w:pPr>
        <w:spacing w:before="40" w:after="40" w:line="240" w:lineRule="exact"/>
        <w:jc w:val="right"/>
        <w:rPr>
          <w:rFonts w:ascii="宋体" w:hAnsi="宋体" w:eastAsia="宋体" w:cs="宋体"/>
          <w:sz w:val="18"/>
          <w:szCs w:val="18"/>
        </w:rPr>
      </w:pPr>
      <w:r>
        <w:rPr>
          <w:rFonts w:ascii="宋体" w:hAnsi="宋体" w:eastAsia="宋体" w:cs="宋体"/>
          <w:sz w:val="18"/>
          <w:szCs w:val="18"/>
        </w:rPr>
        <w:t>单位：股</w:t>
      </w:r>
    </w:p>
    <w:tbl>
      <w:tblPr>
        <w:tblStyle w:val="3"/>
        <w:tblW w:w="96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633"/>
        <w:gridCol w:w="1336"/>
        <w:gridCol w:w="1315"/>
        <w:gridCol w:w="1004"/>
        <w:gridCol w:w="750"/>
        <w:gridCol w:w="454"/>
        <w:gridCol w:w="827"/>
        <w:gridCol w:w="1023"/>
        <w:gridCol w:w="355"/>
        <w:gridCol w:w="94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报告期末普通股股东总数</w:t>
            </w:r>
          </w:p>
        </w:tc>
        <w:tc>
          <w:tcPr>
            <w:tcW w:w="133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39,588</w:t>
            </w:r>
          </w:p>
        </w:tc>
        <w:tc>
          <w:tcPr>
            <w:tcW w:w="1315"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年度报告披露日前一个月末普通股股东总数</w:t>
            </w:r>
          </w:p>
        </w:tc>
        <w:tc>
          <w:tcPr>
            <w:tcW w:w="1004"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38,927</w:t>
            </w:r>
          </w:p>
        </w:tc>
        <w:tc>
          <w:tcPr>
            <w:tcW w:w="1204"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报告期末表决权恢复的优先股股东总数</w:t>
            </w:r>
          </w:p>
        </w:tc>
        <w:tc>
          <w:tcPr>
            <w:tcW w:w="827"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378"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年度报告披露日前一个月末表决权恢复的优先股股东总数</w:t>
            </w:r>
          </w:p>
        </w:tc>
        <w:tc>
          <w:tcPr>
            <w:tcW w:w="942"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9639" w:type="dxa"/>
            <w:gridSpan w:val="10"/>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前10名股东持股情况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股东名称</w:t>
            </w:r>
          </w:p>
        </w:tc>
        <w:tc>
          <w:tcPr>
            <w:tcW w:w="1336"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股东性质</w:t>
            </w:r>
          </w:p>
        </w:tc>
        <w:tc>
          <w:tcPr>
            <w:tcW w:w="1315" w:type="dxa"/>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持股比例</w:t>
            </w:r>
          </w:p>
        </w:tc>
        <w:tc>
          <w:tcPr>
            <w:tcW w:w="1754"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持股数量</w:t>
            </w:r>
          </w:p>
        </w:tc>
        <w:tc>
          <w:tcPr>
            <w:tcW w:w="1281" w:type="dxa"/>
            <w:gridSpan w:val="2"/>
            <w:vMerge w:val="restart"/>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持有有限售条件的股份数量</w:t>
            </w:r>
          </w:p>
        </w:tc>
        <w:tc>
          <w:tcPr>
            <w:tcW w:w="2320" w:type="dxa"/>
            <w:gridSpan w:val="3"/>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质押、标记或冻结情况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336"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315" w:type="dxa"/>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754"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281" w:type="dxa"/>
            <w:gridSpan w:val="2"/>
            <w:vMerge w:val="continue"/>
            <w:tcBorders>
              <w:top w:val="single" w:color="auto" w:sz="2" w:space="0"/>
              <w:left w:val="single" w:color="auto" w:sz="2" w:space="0"/>
              <w:bottom w:val="single" w:color="auto" w:sz="2" w:space="0"/>
              <w:right w:val="single" w:color="auto" w:sz="2" w:space="0"/>
            </w:tcBorders>
            <w:shd w:val="clear" w:color="auto" w:fill="D3D3D3"/>
            <w:vAlign w:val="center"/>
          </w:tcPr>
          <w:p>
            <w:pPr>
              <w:rPr>
                <w:rFonts w:hint="default" w:ascii="Times New Roman" w:hAnsi="Times New Roman" w:cs="Times New Roman"/>
                <w:sz w:val="21"/>
                <w:szCs w:val="21"/>
              </w:rPr>
            </w:pPr>
          </w:p>
        </w:tc>
        <w:tc>
          <w:tcPr>
            <w:tcW w:w="1023" w:type="dxa"/>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股份状态</w:t>
            </w:r>
          </w:p>
        </w:tc>
        <w:tc>
          <w:tcPr>
            <w:tcW w:w="1297"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数量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中广核核技术应用有限公司</w:t>
            </w:r>
          </w:p>
        </w:tc>
        <w:tc>
          <w:tcPr>
            <w:tcW w:w="133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国有法人</w:t>
            </w:r>
          </w:p>
        </w:tc>
        <w:tc>
          <w:tcPr>
            <w:tcW w:w="131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27.28%</w:t>
            </w:r>
          </w:p>
        </w:tc>
        <w:tc>
          <w:tcPr>
            <w:tcW w:w="1754"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257,911,972</w:t>
            </w:r>
          </w:p>
        </w:tc>
        <w:tc>
          <w:tcPr>
            <w:tcW w:w="1281"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28,558,024</w:t>
            </w:r>
          </w:p>
        </w:tc>
        <w:tc>
          <w:tcPr>
            <w:tcW w:w="102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297"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中国大连国际经济技术合作集团有限公司</w:t>
            </w:r>
          </w:p>
        </w:tc>
        <w:tc>
          <w:tcPr>
            <w:tcW w:w="1336" w:type="dxa"/>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境内非国有法人</w:t>
            </w:r>
          </w:p>
        </w:tc>
        <w:tc>
          <w:tcPr>
            <w:tcW w:w="1315" w:type="dxa"/>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12.58%</w:t>
            </w:r>
          </w:p>
        </w:tc>
        <w:tc>
          <w:tcPr>
            <w:tcW w:w="1754" w:type="dxa"/>
            <w:gridSpan w:val="2"/>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118,914,273</w:t>
            </w:r>
          </w:p>
        </w:tc>
        <w:tc>
          <w:tcPr>
            <w:tcW w:w="1281" w:type="dxa"/>
            <w:gridSpan w:val="2"/>
            <w:vMerge w:val="restart"/>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62,141,491</w:t>
            </w:r>
          </w:p>
        </w:tc>
        <w:tc>
          <w:tcPr>
            <w:tcW w:w="102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质押</w:t>
            </w:r>
          </w:p>
        </w:tc>
        <w:tc>
          <w:tcPr>
            <w:tcW w:w="1297"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118,914,273</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中国大连国际经济技术合作集团有限公司</w:t>
            </w:r>
          </w:p>
        </w:tc>
        <w:tc>
          <w:tcPr>
            <w:tcW w:w="1336" w:type="dxa"/>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境内非国有法人</w:t>
            </w:r>
          </w:p>
        </w:tc>
        <w:tc>
          <w:tcPr>
            <w:tcW w:w="1315" w:type="dxa"/>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12.58%</w:t>
            </w:r>
          </w:p>
        </w:tc>
        <w:tc>
          <w:tcPr>
            <w:tcW w:w="1754" w:type="dxa"/>
            <w:gridSpan w:val="2"/>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118,914,273</w:t>
            </w:r>
          </w:p>
        </w:tc>
        <w:tc>
          <w:tcPr>
            <w:tcW w:w="1281" w:type="dxa"/>
            <w:gridSpan w:val="2"/>
            <w:vMerge w:val="continue"/>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62,141,491</w:t>
            </w:r>
          </w:p>
        </w:tc>
        <w:tc>
          <w:tcPr>
            <w:tcW w:w="102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冻结</w:t>
            </w:r>
          </w:p>
        </w:tc>
        <w:tc>
          <w:tcPr>
            <w:tcW w:w="1297"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8,000,000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陈晓敏</w:t>
            </w:r>
          </w:p>
        </w:tc>
        <w:tc>
          <w:tcPr>
            <w:tcW w:w="133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境内自然人</w:t>
            </w:r>
          </w:p>
        </w:tc>
        <w:tc>
          <w:tcPr>
            <w:tcW w:w="131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4.51%</w:t>
            </w:r>
          </w:p>
        </w:tc>
        <w:tc>
          <w:tcPr>
            <w:tcW w:w="1754"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42,667,163</w:t>
            </w:r>
          </w:p>
        </w:tc>
        <w:tc>
          <w:tcPr>
            <w:tcW w:w="1281"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11,469,623</w:t>
            </w:r>
          </w:p>
        </w:tc>
        <w:tc>
          <w:tcPr>
            <w:tcW w:w="102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质押</w:t>
            </w:r>
          </w:p>
        </w:tc>
        <w:tc>
          <w:tcPr>
            <w:tcW w:w="1297"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41,000,000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江苏达胜热缩材料有限公司</w:t>
            </w:r>
          </w:p>
        </w:tc>
        <w:tc>
          <w:tcPr>
            <w:tcW w:w="133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境内非国有法人</w:t>
            </w:r>
          </w:p>
        </w:tc>
        <w:tc>
          <w:tcPr>
            <w:tcW w:w="131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1.86%</w:t>
            </w:r>
          </w:p>
        </w:tc>
        <w:tc>
          <w:tcPr>
            <w:tcW w:w="1754"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17,590,750</w:t>
            </w:r>
          </w:p>
        </w:tc>
        <w:tc>
          <w:tcPr>
            <w:tcW w:w="1281"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17,590,750</w:t>
            </w:r>
          </w:p>
        </w:tc>
        <w:tc>
          <w:tcPr>
            <w:tcW w:w="102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质押</w:t>
            </w:r>
          </w:p>
        </w:tc>
        <w:tc>
          <w:tcPr>
            <w:tcW w:w="1297"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10,440,000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83" w:hRule="atLeast"/>
        </w:trPr>
        <w:tc>
          <w:tcPr>
            <w:tcW w:w="163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芜湖渝宾投资中心（有限合伙）</w:t>
            </w:r>
          </w:p>
        </w:tc>
        <w:tc>
          <w:tcPr>
            <w:tcW w:w="133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境内非国有法人</w:t>
            </w:r>
          </w:p>
        </w:tc>
        <w:tc>
          <w:tcPr>
            <w:tcW w:w="131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1.52%</w:t>
            </w:r>
          </w:p>
        </w:tc>
        <w:tc>
          <w:tcPr>
            <w:tcW w:w="1754"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14,340,344</w:t>
            </w:r>
          </w:p>
        </w:tc>
        <w:tc>
          <w:tcPr>
            <w:tcW w:w="1281"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2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297"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中广核资本控股有限公司</w:t>
            </w:r>
          </w:p>
        </w:tc>
        <w:tc>
          <w:tcPr>
            <w:tcW w:w="133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国有法人</w:t>
            </w:r>
          </w:p>
        </w:tc>
        <w:tc>
          <w:tcPr>
            <w:tcW w:w="131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1.33%</w:t>
            </w:r>
          </w:p>
        </w:tc>
        <w:tc>
          <w:tcPr>
            <w:tcW w:w="1754"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12,557,084</w:t>
            </w:r>
          </w:p>
        </w:tc>
        <w:tc>
          <w:tcPr>
            <w:tcW w:w="1281"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2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297"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单永东</w:t>
            </w:r>
          </w:p>
        </w:tc>
        <w:tc>
          <w:tcPr>
            <w:tcW w:w="133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境内自然人</w:t>
            </w:r>
          </w:p>
        </w:tc>
        <w:tc>
          <w:tcPr>
            <w:tcW w:w="131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0.87%</w:t>
            </w:r>
          </w:p>
        </w:tc>
        <w:tc>
          <w:tcPr>
            <w:tcW w:w="1754"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8,199,577</w:t>
            </w:r>
          </w:p>
        </w:tc>
        <w:tc>
          <w:tcPr>
            <w:tcW w:w="1281"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3,735,827</w:t>
            </w:r>
          </w:p>
        </w:tc>
        <w:tc>
          <w:tcPr>
            <w:tcW w:w="102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297"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魏建良</w:t>
            </w:r>
          </w:p>
        </w:tc>
        <w:tc>
          <w:tcPr>
            <w:tcW w:w="133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境内自然人</w:t>
            </w:r>
          </w:p>
        </w:tc>
        <w:tc>
          <w:tcPr>
            <w:tcW w:w="131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0.86%</w:t>
            </w:r>
          </w:p>
        </w:tc>
        <w:tc>
          <w:tcPr>
            <w:tcW w:w="1754"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8,166,278</w:t>
            </w:r>
          </w:p>
        </w:tc>
        <w:tc>
          <w:tcPr>
            <w:tcW w:w="1281"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6,226,378</w:t>
            </w:r>
          </w:p>
        </w:tc>
        <w:tc>
          <w:tcPr>
            <w:tcW w:w="102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297"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吴翰</w:t>
            </w:r>
          </w:p>
        </w:tc>
        <w:tc>
          <w:tcPr>
            <w:tcW w:w="133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境内自然人</w:t>
            </w:r>
          </w:p>
        </w:tc>
        <w:tc>
          <w:tcPr>
            <w:tcW w:w="131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0.81%</w:t>
            </w:r>
          </w:p>
        </w:tc>
        <w:tc>
          <w:tcPr>
            <w:tcW w:w="1754"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7,620,000</w:t>
            </w:r>
          </w:p>
        </w:tc>
        <w:tc>
          <w:tcPr>
            <w:tcW w:w="1281"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02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297"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163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丁建宏</w:t>
            </w:r>
          </w:p>
        </w:tc>
        <w:tc>
          <w:tcPr>
            <w:tcW w:w="1336"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境内自然人</w:t>
            </w:r>
          </w:p>
        </w:tc>
        <w:tc>
          <w:tcPr>
            <w:tcW w:w="1315"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0.78%</w:t>
            </w:r>
          </w:p>
        </w:tc>
        <w:tc>
          <w:tcPr>
            <w:tcW w:w="1754"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7,335,827</w:t>
            </w:r>
          </w:p>
        </w:tc>
        <w:tc>
          <w:tcPr>
            <w:tcW w:w="1281"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3,735,827</w:t>
            </w:r>
          </w:p>
        </w:tc>
        <w:tc>
          <w:tcPr>
            <w:tcW w:w="1023" w:type="dxa"/>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p>
        </w:tc>
        <w:tc>
          <w:tcPr>
            <w:tcW w:w="1297" w:type="dxa"/>
            <w:gridSpan w:val="2"/>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right"/>
              <w:rPr>
                <w:rFonts w:hint="default" w:ascii="Times New Roman" w:hAnsi="Times New Roman" w:eastAsia="宋体" w:cs="Times New Roman"/>
                <w:sz w:val="21"/>
                <w:szCs w:val="21"/>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96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上述股东关联关系或一致行动的说明</w:t>
            </w:r>
          </w:p>
        </w:tc>
        <w:tc>
          <w:tcPr>
            <w:tcW w:w="6670" w:type="dxa"/>
            <w:gridSpan w:val="8"/>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截止2022年12月31日，中广核资本系控股股东中广核核技术一致行动人。公司未知其他前10名普通股股东之间是否存在关联关系或一致行动人的情形。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0" w:hRule="atLeast"/>
        </w:trPr>
        <w:tc>
          <w:tcPr>
            <w:tcW w:w="2969" w:type="dxa"/>
            <w:gridSpan w:val="2"/>
            <w:tcBorders>
              <w:top w:val="single" w:color="auto" w:sz="2" w:space="0"/>
              <w:left w:val="single" w:color="auto" w:sz="2" w:space="0"/>
              <w:bottom w:val="single" w:color="auto" w:sz="2" w:space="0"/>
              <w:right w:val="single" w:color="auto" w:sz="2" w:space="0"/>
            </w:tcBorders>
            <w:shd w:val="clear" w:color="auto" w:fill="D3D3D3"/>
            <w:vAlign w:val="center"/>
          </w:tcPr>
          <w:p>
            <w:pPr>
              <w:spacing w:before="40" w:after="4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参与融资融券业务股东情况说明（如有）</w:t>
            </w:r>
          </w:p>
        </w:tc>
        <w:tc>
          <w:tcPr>
            <w:tcW w:w="6670" w:type="dxa"/>
            <w:gridSpan w:val="8"/>
            <w:tcBorders>
              <w:top w:val="single" w:color="auto" w:sz="2" w:space="0"/>
              <w:left w:val="single" w:color="auto" w:sz="2" w:space="0"/>
              <w:bottom w:val="single" w:color="auto" w:sz="2" w:space="0"/>
              <w:right w:val="single" w:color="auto" w:sz="2" w:space="0"/>
            </w:tcBorders>
            <w:vAlign w:val="center"/>
          </w:tcPr>
          <w:p>
            <w:pPr>
              <w:spacing w:before="0" w:after="0" w:line="240" w:lineRule="exact"/>
              <w:jc w:val="lef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无</w:t>
            </w:r>
          </w:p>
        </w:tc>
      </w:tr>
    </w:tbl>
    <w:p>
      <w:pPr>
        <w:keepNext/>
        <w:keepLines/>
        <w:spacing w:before="300" w:after="300" w:line="280" w:lineRule="exact"/>
        <w:jc w:val="left"/>
        <w:outlineLvl w:val="3"/>
        <w:rPr>
          <w:rFonts w:ascii="宋体" w:hAnsi="宋体" w:eastAsia="宋体" w:cs="宋体"/>
          <w:b/>
          <w:bCs/>
          <w:sz w:val="21"/>
          <w:szCs w:val="21"/>
        </w:rPr>
      </w:pPr>
      <w:bookmarkStart w:id="9" w:name="_Toc988898"/>
      <w:r>
        <w:rPr>
          <w:rFonts w:ascii="宋体" w:hAnsi="宋体" w:eastAsia="宋体" w:cs="宋体"/>
          <w:b/>
          <w:bCs/>
          <w:sz w:val="21"/>
          <w:szCs w:val="21"/>
        </w:rPr>
        <w:t>（2） 公司优先股股东总数及前10名优先股股东持股情况表</w:t>
      </w:r>
      <w:bookmarkEnd w:id="9"/>
    </w:p>
    <w:p>
      <w:pPr>
        <w:spacing w:before="40" w:after="40" w:line="240" w:lineRule="exact"/>
        <w:jc w:val="left"/>
        <w:rPr>
          <w:rFonts w:ascii="宋体" w:hAnsi="宋体" w:eastAsia="宋体" w:cs="宋体"/>
          <w:sz w:val="21"/>
          <w:szCs w:val="21"/>
        </w:rPr>
      </w:pPr>
      <w:r>
        <w:rPr>
          <w:rFonts w:ascii="宋体" w:hAnsi="宋体" w:eastAsia="宋体" w:cs="宋体"/>
          <w:sz w:val="21"/>
          <w:szCs w:val="21"/>
        </w:rPr>
        <w:t xml:space="preserve">□适用 </w:t>
      </w:r>
      <w:r>
        <w:rPr>
          <w:rFonts w:ascii="宋体" w:hAnsi="宋体" w:eastAsia="宋体" w:cs="宋体"/>
          <w:sz w:val="21"/>
          <w:szCs w:val="21"/>
        </w:rPr>
        <w:sym w:font="Wingdings 2" w:char="F052"/>
      </w:r>
      <w:r>
        <w:rPr>
          <w:rFonts w:ascii="宋体" w:hAnsi="宋体" w:eastAsia="宋体" w:cs="宋体"/>
          <w:sz w:val="21"/>
          <w:szCs w:val="21"/>
        </w:rPr>
        <w:t>不适用</w:t>
      </w:r>
    </w:p>
    <w:p>
      <w:pPr>
        <w:spacing w:before="100" w:after="100" w:line="240" w:lineRule="exact"/>
        <w:jc w:val="left"/>
        <w:rPr>
          <w:rFonts w:ascii="宋体" w:hAnsi="宋体" w:eastAsia="宋体" w:cs="宋体"/>
          <w:sz w:val="21"/>
          <w:szCs w:val="21"/>
        </w:rPr>
      </w:pPr>
      <w:r>
        <w:rPr>
          <w:rFonts w:ascii="宋体" w:hAnsi="宋体" w:eastAsia="宋体" w:cs="宋体"/>
          <w:sz w:val="21"/>
          <w:szCs w:val="21"/>
        </w:rPr>
        <w:t>公司报告期无优先股股东持股情况。</w:t>
      </w:r>
    </w:p>
    <w:p>
      <w:pPr>
        <w:spacing w:before="100" w:after="100" w:line="240" w:lineRule="exact"/>
        <w:jc w:val="left"/>
        <w:rPr>
          <w:rFonts w:ascii="宋体" w:hAnsi="宋体" w:eastAsia="宋体" w:cs="宋体"/>
          <w:sz w:val="21"/>
          <w:szCs w:val="21"/>
        </w:rPr>
      </w:pPr>
    </w:p>
    <w:p>
      <w:pPr>
        <w:spacing w:before="100" w:after="100" w:line="240" w:lineRule="exact"/>
        <w:jc w:val="left"/>
        <w:rPr>
          <w:rFonts w:ascii="宋体" w:hAnsi="宋体" w:eastAsia="宋体" w:cs="宋体"/>
          <w:sz w:val="21"/>
          <w:szCs w:val="21"/>
        </w:rPr>
      </w:pPr>
    </w:p>
    <w:p>
      <w:pPr>
        <w:spacing w:before="100" w:after="100" w:line="240" w:lineRule="exact"/>
        <w:jc w:val="left"/>
        <w:rPr>
          <w:rFonts w:ascii="宋体" w:hAnsi="宋体" w:eastAsia="宋体" w:cs="宋体"/>
          <w:sz w:val="21"/>
          <w:szCs w:val="21"/>
        </w:rPr>
      </w:pPr>
    </w:p>
    <w:p>
      <w:pPr>
        <w:keepNext/>
        <w:keepLines/>
        <w:spacing w:before="300" w:after="300" w:line="280" w:lineRule="exact"/>
        <w:jc w:val="left"/>
        <w:outlineLvl w:val="3"/>
        <w:rPr>
          <w:rFonts w:ascii="宋体" w:hAnsi="宋体" w:eastAsia="宋体" w:cs="宋体"/>
          <w:b/>
          <w:bCs/>
          <w:sz w:val="21"/>
          <w:szCs w:val="21"/>
        </w:rPr>
      </w:pPr>
      <w:bookmarkStart w:id="10" w:name="_Toc988899"/>
      <w:r>
        <w:rPr>
          <w:rFonts w:ascii="宋体" w:hAnsi="宋体" w:eastAsia="宋体" w:cs="宋体"/>
          <w:b/>
          <w:bCs/>
          <w:sz w:val="21"/>
          <w:szCs w:val="21"/>
        </w:rPr>
        <w:t>（3） 以方框图形式披露公司与实际控制人之间的产权及控制关系</w:t>
      </w:r>
      <w:bookmarkEnd w:id="10"/>
    </w:p>
    <w:p>
      <w:pPr>
        <w:spacing w:before="40" w:after="40" w:line="0" w:lineRule="exact"/>
        <w:rPr>
          <w:rFonts w:ascii="Times New Roman" w:hAnsi="Times New Roman" w:eastAsia="宋体" w:cs="Times New Roman"/>
        </w:rPr>
      </w:pPr>
      <w:r>
        <w:rPr>
          <w:rFonts w:ascii="Times New Roman" w:hAnsi="Times New Roman" w:eastAsia="宋体" w:cs="Times New Roman"/>
        </w:rPr>
        <w:drawing>
          <wp:inline distT="0" distB="0" distL="0" distR="0">
            <wp:extent cx="2295525" cy="17240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6" cstate="print"/>
                    <a:stretch>
                      <a:fillRect/>
                    </a:stretch>
                  </pic:blipFill>
                  <pic:spPr>
                    <a:xfrm>
                      <a:off x="0" y="0"/>
                      <a:ext cx="2295525" cy="1724025"/>
                    </a:xfrm>
                    <a:prstGeom prst="rect">
                      <a:avLst/>
                    </a:prstGeom>
                  </pic:spPr>
                </pic:pic>
              </a:graphicData>
            </a:graphic>
          </wp:inline>
        </w:drawing>
      </w:r>
    </w:p>
    <w:p>
      <w:pPr>
        <w:keepNext/>
        <w:keepLines/>
        <w:spacing w:before="300" w:after="300" w:line="240" w:lineRule="auto"/>
        <w:jc w:val="left"/>
        <w:outlineLvl w:val="2"/>
        <w:rPr>
          <w:rFonts w:hint="eastAsia" w:ascii="宋体" w:hAnsi="宋体" w:eastAsia="宋体" w:cs="宋体"/>
          <w:b/>
          <w:bCs/>
          <w:sz w:val="21"/>
          <w:szCs w:val="21"/>
          <w:lang w:eastAsia="zh-CN"/>
        </w:rPr>
      </w:pPr>
      <w:bookmarkStart w:id="11" w:name="_Toc988900"/>
      <w:r>
        <w:rPr>
          <w:rFonts w:hint="eastAsia" w:ascii="宋体" w:hAnsi="宋体" w:eastAsia="宋体" w:cs="宋体"/>
          <w:b/>
          <w:bCs/>
          <w:sz w:val="21"/>
          <w:szCs w:val="21"/>
          <w:lang w:eastAsia="zh-CN"/>
        </w:rPr>
        <w:drawing>
          <wp:inline distT="0" distB="0" distL="114300" distR="114300">
            <wp:extent cx="4591050" cy="3448050"/>
            <wp:effectExtent l="0" t="0" r="0" b="0"/>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6"/>
                    <a:stretch>
                      <a:fillRect/>
                    </a:stretch>
                  </pic:blipFill>
                  <pic:spPr>
                    <a:xfrm>
                      <a:off x="0" y="0"/>
                      <a:ext cx="4591050" cy="3448050"/>
                    </a:xfrm>
                    <a:prstGeom prst="rect">
                      <a:avLst/>
                    </a:prstGeom>
                  </pic:spPr>
                </pic:pic>
              </a:graphicData>
            </a:graphic>
          </wp:inline>
        </w:drawing>
      </w:r>
    </w:p>
    <w:p>
      <w:pPr>
        <w:keepNext/>
        <w:keepLines/>
        <w:spacing w:before="300" w:after="300" w:line="280" w:lineRule="exact"/>
        <w:jc w:val="left"/>
        <w:outlineLvl w:val="2"/>
        <w:rPr>
          <w:rFonts w:ascii="宋体" w:hAnsi="宋体" w:eastAsia="宋体" w:cs="宋体"/>
          <w:b/>
          <w:bCs/>
          <w:sz w:val="21"/>
          <w:szCs w:val="21"/>
        </w:rPr>
      </w:pPr>
      <w:r>
        <w:rPr>
          <w:rFonts w:ascii="宋体" w:hAnsi="宋体" w:eastAsia="宋体" w:cs="宋体"/>
          <w:b/>
          <w:bCs/>
          <w:sz w:val="21"/>
          <w:szCs w:val="21"/>
        </w:rPr>
        <w:t>5、在年度报告批准报出日存续的债券情况</w:t>
      </w:r>
      <w:bookmarkEnd w:id="11"/>
    </w:p>
    <w:p>
      <w:pPr>
        <w:spacing w:before="100" w:after="100" w:line="240" w:lineRule="exact"/>
        <w:jc w:val="left"/>
        <w:rPr>
          <w:rFonts w:ascii="宋体" w:hAnsi="宋体" w:eastAsia="宋体" w:cs="宋体"/>
          <w:sz w:val="21"/>
          <w:szCs w:val="21"/>
        </w:rPr>
      </w:pPr>
      <w:r>
        <w:rPr>
          <w:rFonts w:ascii="宋体" w:hAnsi="宋体" w:eastAsia="宋体" w:cs="宋体"/>
          <w:sz w:val="21"/>
          <w:szCs w:val="21"/>
        </w:rPr>
        <w:t xml:space="preserve">□适用 </w:t>
      </w:r>
      <w:r>
        <w:rPr>
          <w:rFonts w:ascii="宋体" w:hAnsi="宋体" w:eastAsia="宋体" w:cs="宋体"/>
          <w:sz w:val="21"/>
          <w:szCs w:val="21"/>
        </w:rPr>
        <w:sym w:font="Wingdings 2" w:char="F052"/>
      </w:r>
      <w:r>
        <w:rPr>
          <w:rFonts w:ascii="宋体" w:hAnsi="宋体" w:eastAsia="宋体" w:cs="宋体"/>
          <w:sz w:val="21"/>
          <w:szCs w:val="21"/>
        </w:rPr>
        <w:t>不适用</w:t>
      </w:r>
    </w:p>
    <w:p>
      <w:pPr>
        <w:keepNext/>
        <w:keepLines/>
        <w:spacing w:before="300" w:after="300" w:line="320" w:lineRule="exact"/>
        <w:jc w:val="left"/>
        <w:outlineLvl w:val="1"/>
        <w:rPr>
          <w:rFonts w:ascii="宋体" w:hAnsi="宋体" w:eastAsia="宋体" w:cs="宋体"/>
          <w:b/>
          <w:bCs/>
          <w:sz w:val="24"/>
          <w:szCs w:val="24"/>
        </w:rPr>
      </w:pPr>
      <w:bookmarkStart w:id="12" w:name="_Toc988901"/>
      <w:r>
        <w:rPr>
          <w:rFonts w:ascii="宋体" w:hAnsi="宋体" w:eastAsia="宋体" w:cs="宋体"/>
          <w:b/>
          <w:bCs/>
          <w:sz w:val="24"/>
          <w:szCs w:val="24"/>
        </w:rPr>
        <w:t>三、重要事项</w:t>
      </w:r>
      <w:bookmarkEnd w:id="12"/>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2022年6月29日，公司召开了第九届董事会第二十八次会议，审议通过了《关于〈中广核核技术发展股份有限公司发行股份购买资产暨关联交易报告书（草案）〉及其摘要的议案》等相关议案。公司拟以发行股份方式购买中广核核技术应用有限公司所持30%中广核贝谷科技有限公司（以下简称“贝谷科技”）股权、拟以支付现金方式购买中广核久源（成都）科技有限公司所持21%贝谷科技股权、拟以发行股份及支付现金方式购买吉安市云科通科技合伙企业（有限合伙）所持49%贝谷科技股权。本次交易后，上市公司将取得贝谷科技100%股权。本次交易的交易对方包括上市公司控股股东中广核核技术应用有限公司及其控制的中广核久源（成都）科技有限公司。根据《深圳证券交易所股票上市规则》规定，本次交易构成关联交易。自重组报告书披露以来，公司及相关各方积极推进本次交易的各项工作。截至本公告披露日，本次交易的审计报告、评估报告均已过有效期，公司正在开展新一期审计、资产评估工作，并与交易对方就本次交易具体细节进行沟通协商，待相关工作完成后，公司将再次召开董事会审议本次交易的相关事项，并按照相关法律法规的规定履行有关的后续审批及信息披露程序。</w:t>
      </w:r>
    </w:p>
    <w:p>
      <w:pPr>
        <w:snapToGrid w:val="0"/>
        <w:spacing w:line="360" w:lineRule="auto"/>
        <w:ind w:firstLine="480" w:firstLineChars="200"/>
        <w:rPr>
          <w:rFonts w:hint="default" w:ascii="Times New Roman" w:hAnsi="Times New Roman" w:cs="Times New Roman"/>
          <w:sz w:val="24"/>
          <w:szCs w:val="24"/>
        </w:rPr>
      </w:pPr>
    </w:p>
    <w:p>
      <w:pPr>
        <w:snapToGrid w:val="0"/>
        <w:spacing w:line="360" w:lineRule="auto"/>
        <w:ind w:firstLine="480" w:firstLineChars="200"/>
        <w:jc w:val="right"/>
        <w:rPr>
          <w:rFonts w:hint="default" w:ascii="Times New Roman" w:hAnsi="Times New Roman" w:cs="Times New Roman"/>
          <w:b/>
          <w:sz w:val="24"/>
          <w:szCs w:val="24"/>
        </w:rPr>
      </w:pPr>
      <w:r>
        <w:rPr>
          <w:rFonts w:hint="default" w:ascii="Times New Roman" w:hAnsi="Times New Roman" w:cs="Times New Roman"/>
          <w:b/>
          <w:sz w:val="24"/>
          <w:szCs w:val="24"/>
        </w:rPr>
        <w:t>中广核核技术发展股份有限公司</w:t>
      </w:r>
    </w:p>
    <w:p>
      <w:pPr>
        <w:snapToGrid w:val="0"/>
        <w:spacing w:line="360" w:lineRule="auto"/>
        <w:ind w:firstLine="480" w:firstLineChars="200"/>
        <w:jc w:val="right"/>
        <w:rPr>
          <w:rFonts w:hint="default" w:ascii="Times New Roman" w:hAnsi="Times New Roman" w:cs="Times New Roman"/>
          <w:b/>
          <w:sz w:val="24"/>
          <w:szCs w:val="24"/>
        </w:rPr>
      </w:pPr>
      <w:r>
        <w:rPr>
          <w:rFonts w:hint="default" w:ascii="Times New Roman" w:hAnsi="Times New Roman" w:cs="Times New Roman"/>
          <w:b/>
          <w:sz w:val="24"/>
          <w:szCs w:val="24"/>
        </w:rPr>
        <w:t>董事会</w:t>
      </w:r>
    </w:p>
    <w:p>
      <w:pPr>
        <w:snapToGrid w:val="0"/>
        <w:spacing w:line="360" w:lineRule="auto"/>
        <w:ind w:firstLine="480" w:firstLineChars="200"/>
        <w:jc w:val="right"/>
        <w:rPr>
          <w:rFonts w:hint="default" w:ascii="Times New Roman" w:hAnsi="Times New Roman" w:cs="Times New Roman"/>
          <w:b/>
          <w:sz w:val="24"/>
          <w:szCs w:val="24"/>
        </w:rPr>
      </w:pPr>
      <w:r>
        <w:rPr>
          <w:rFonts w:hint="default" w:ascii="Times New Roman" w:hAnsi="Times New Roman" w:cs="Times New Roman"/>
          <w:b/>
          <w:sz w:val="24"/>
          <w:szCs w:val="24"/>
        </w:rPr>
        <w:t>202</w:t>
      </w:r>
      <w:r>
        <w:rPr>
          <w:rFonts w:hint="default" w:ascii="Times New Roman" w:hAnsi="Times New Roman" w:cs="Times New Roman"/>
          <w:b/>
          <w:sz w:val="24"/>
          <w:szCs w:val="24"/>
          <w:lang w:val="en-US" w:eastAsia="zh-CN"/>
        </w:rPr>
        <w:t>3</w:t>
      </w:r>
      <w:r>
        <w:rPr>
          <w:rFonts w:hint="default" w:ascii="Times New Roman" w:hAnsi="Times New Roman" w:cs="Times New Roman"/>
          <w:b/>
          <w:sz w:val="24"/>
          <w:szCs w:val="24"/>
        </w:rPr>
        <w:t>年</w:t>
      </w:r>
      <w:r>
        <w:rPr>
          <w:rFonts w:hint="eastAsia" w:ascii="Times New Roman" w:hAnsi="Times New Roman" w:cs="Times New Roman"/>
          <w:b/>
          <w:sz w:val="24"/>
          <w:szCs w:val="24"/>
          <w:lang w:val="en-US" w:eastAsia="zh-CN"/>
        </w:rPr>
        <w:t>4</w:t>
      </w:r>
      <w:r>
        <w:rPr>
          <w:rFonts w:hint="default" w:ascii="Times New Roman" w:hAnsi="Times New Roman" w:cs="Times New Roman"/>
          <w:b/>
          <w:sz w:val="24"/>
          <w:szCs w:val="24"/>
        </w:rPr>
        <w:t>月</w:t>
      </w:r>
      <w:r>
        <w:rPr>
          <w:rFonts w:hint="eastAsia" w:ascii="Times New Roman" w:hAnsi="Times New Roman" w:cs="Times New Roman"/>
          <w:b/>
          <w:sz w:val="24"/>
          <w:szCs w:val="24"/>
          <w:lang w:val="en-US" w:eastAsia="zh-CN"/>
        </w:rPr>
        <w:t>27</w:t>
      </w:r>
      <w:r>
        <w:rPr>
          <w:rFonts w:hint="default" w:ascii="Times New Roman" w:hAnsi="Times New Roman" w:cs="Times New Roman"/>
          <w:b/>
          <w:sz w:val="24"/>
          <w:szCs w:val="24"/>
        </w:rPr>
        <w:t>日</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default" w:ascii="Times New Roman" w:hAnsi="Times New Roman" w:eastAsia="宋体" w:cs="Times New Roman"/>
          <w:sz w:val="21"/>
          <w:szCs w:val="21"/>
        </w:rPr>
      </w:pPr>
      <w:bookmarkStart w:id="13" w:name="_GoBack"/>
      <w:bookmarkEnd w:id="13"/>
    </w:p>
    <w:sectPr>
      <w:headerReference r:id="rId3" w:type="default"/>
      <w:footerReference r:id="rId4" w:type="default"/>
      <w:pgSz w:w="11905" w:h="16840"/>
      <w:pgMar w:top="850" w:right="1134" w:bottom="850" w:left="1134" w:header="850"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rPr>
        <w:rFonts w:ascii="仿宋" w:eastAsia="仿宋"/>
        <w:sz w:val="21"/>
        <w:szCs w:val="21"/>
      </w:rPr>
      <w:fldChar w:fldCharType="begin"/>
    </w:r>
    <w:r>
      <w:rPr>
        <w:rFonts w:ascii="仿宋" w:eastAsia="仿宋"/>
        <w:sz w:val="21"/>
        <w:szCs w:val="21"/>
      </w:rPr>
      <w:instrText xml:space="preserve">PAGE   \* MERGEFORMAT</w:instrText>
    </w:r>
    <w:r>
      <w:rPr>
        <w:rFonts w:ascii="仿宋" w:eastAsia="仿宋"/>
        <w:sz w:val="21"/>
        <w:szCs w:val="21"/>
      </w:rPr>
      <w:fldChar w:fldCharType="separate"/>
    </w:r>
    <w:r>
      <w:rPr>
        <w:rFonts w:ascii="仿宋" w:eastAsia="仿宋"/>
        <w:sz w:val="21"/>
        <w:szCs w:val="21"/>
      </w:rPr>
      <w:t>1</w:t>
    </w:r>
    <w:r>
      <w:rPr>
        <w:rFonts w:ascii="仿宋" w:eastAsia="仿宋"/>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6" w:space="1"/>
      </w:pBdr>
      <w:jc w:val="right"/>
    </w:pPr>
    <w:r>
      <w:rPr>
        <w:rFonts w:ascii="宋体" w:eastAsia="宋体"/>
        <w:sz w:val="18"/>
        <w:szCs w:val="18"/>
      </w:rPr>
      <w:t>中广核核技术发展股份有限公司2022年年度报告摘要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compat>
    <w:doNotExpandShiftReturn/>
    <w:useFELayout/>
    <w:compatSetting w:name="compatibilityMode" w:uri="http://schemas.microsoft.com/office/word" w:val="14"/>
  </w:compat>
  <w:rsids>
    <w:rsidRoot w:val="00000000"/>
    <w:rsid w:val="02C8067E"/>
    <w:rsid w:val="0EE83244"/>
    <w:rsid w:val="454C35BA"/>
    <w:rsid w:val="52547A71"/>
    <w:rsid w:val="573965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Office_11.8.2.10321_F1E327BC-269C-435d-A152-05C5408002CA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2023-04-25T10:08:00Z</dcterms:created>
  <dc:creator>P194919</dc:creator>
  <cp:lastModifiedBy>牟海涛</cp:lastModifiedBy>
  <dcterms:modified xsi:type="dcterms:W3CDTF">2023-04-25T10:20:54Z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