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sz w:val="24"/>
              </w:rPr>
            </w:pPr>
            <w:r>
              <w:rPr>
                <w:sz w:val="24"/>
              </w:rPr>
              <w:t>证券代码：000881</w:t>
            </w:r>
          </w:p>
        </w:tc>
        <w:tc>
          <w:tcPr>
            <w:tcW w:w="1667" w:type="pct"/>
            <w:noWrap w:val="0"/>
            <w:vAlign w:val="top"/>
          </w:tcPr>
          <w:p>
            <w:pPr>
              <w:adjustRightInd w:val="0"/>
              <w:snapToGrid w:val="0"/>
              <w:spacing w:line="440" w:lineRule="exact"/>
              <w:jc w:val="center"/>
              <w:rPr>
                <w:sz w:val="24"/>
              </w:rPr>
            </w:pPr>
            <w:r>
              <w:rPr>
                <w:sz w:val="24"/>
              </w:rPr>
              <w:t>证券简称：中广核技</w:t>
            </w:r>
          </w:p>
        </w:tc>
        <w:tc>
          <w:tcPr>
            <w:tcW w:w="1667" w:type="pct"/>
            <w:noWrap w:val="0"/>
            <w:vAlign w:val="top"/>
          </w:tcPr>
          <w:p>
            <w:pPr>
              <w:adjustRightInd w:val="0"/>
              <w:snapToGrid w:val="0"/>
              <w:spacing w:line="440" w:lineRule="exact"/>
              <w:jc w:val="right"/>
              <w:rPr>
                <w:rFonts w:hint="default" w:eastAsia="宋体"/>
                <w:sz w:val="24"/>
                <w:lang w:val="en-US" w:eastAsia="zh-CN"/>
              </w:rPr>
            </w:pPr>
            <w:r>
              <w:rPr>
                <w:sz w:val="24"/>
                <w:highlight w:val="none"/>
              </w:rPr>
              <w:t>公告编号：202</w:t>
            </w:r>
            <w:r>
              <w:rPr>
                <w:rFonts w:hint="eastAsia"/>
                <w:sz w:val="24"/>
                <w:highlight w:val="none"/>
              </w:rPr>
              <w:t>3</w:t>
            </w:r>
            <w:r>
              <w:rPr>
                <w:sz w:val="24"/>
                <w:highlight w:val="none"/>
              </w:rPr>
              <w:t>-0</w:t>
            </w:r>
            <w:r>
              <w:rPr>
                <w:rFonts w:hint="eastAsia"/>
                <w:sz w:val="24"/>
                <w:highlight w:val="none"/>
                <w:lang w:val="en-US" w:eastAsia="zh-CN"/>
              </w:rPr>
              <w:t>90</w:t>
            </w:r>
          </w:p>
        </w:tc>
      </w:tr>
    </w:tbl>
    <w:p>
      <w:pPr>
        <w:snapToGrid w:val="0"/>
        <w:spacing w:before="156" w:beforeLines="50"/>
        <w:jc w:val="center"/>
        <w:rPr>
          <w:b/>
          <w:sz w:val="36"/>
          <w:szCs w:val="36"/>
        </w:rPr>
      </w:pPr>
      <w:r>
        <w:rPr>
          <w:b/>
          <w:sz w:val="36"/>
          <w:szCs w:val="36"/>
        </w:rPr>
        <w:t>中广核核技术发展股份有限公司</w:t>
      </w:r>
    </w:p>
    <w:p>
      <w:pPr>
        <w:snapToGrid w:val="0"/>
        <w:jc w:val="center"/>
        <w:rPr>
          <w:b/>
          <w:sz w:val="36"/>
          <w:szCs w:val="36"/>
        </w:rPr>
      </w:pPr>
      <w:r>
        <w:rPr>
          <w:rFonts w:hint="eastAsia"/>
          <w:b/>
          <w:sz w:val="36"/>
          <w:szCs w:val="36"/>
        </w:rPr>
        <w:t>关于公司控股子公司申请破产清算的公告</w:t>
      </w:r>
    </w:p>
    <w:p>
      <w:pPr>
        <w:snapToGrid w:val="0"/>
        <w:spacing w:before="156" w:beforeLines="50" w:line="360" w:lineRule="auto"/>
        <w:ind w:firstLine="422" w:firstLineChars="200"/>
        <w:rPr>
          <w:b/>
          <w:szCs w:val="21"/>
        </w:rPr>
      </w:pPr>
      <w:r>
        <w:rPr>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rFonts w:hint="default" w:eastAsia="宋体"/>
          <w:b/>
          <w:sz w:val="24"/>
          <w:szCs w:val="24"/>
          <w:lang w:val="en-US" w:eastAsia="zh-CN"/>
        </w:rPr>
      </w:pPr>
      <w:r>
        <w:rPr>
          <w:b/>
          <w:sz w:val="24"/>
          <w:szCs w:val="24"/>
        </w:rPr>
        <w:t>一、</w:t>
      </w:r>
      <w:r>
        <w:rPr>
          <w:rFonts w:hint="eastAsia"/>
          <w:b/>
          <w:sz w:val="24"/>
          <w:szCs w:val="24"/>
          <w:lang w:val="en-US" w:eastAsia="zh-CN"/>
        </w:rPr>
        <w:t>破产申请概述</w:t>
      </w:r>
    </w:p>
    <w:p>
      <w:pPr>
        <w:adjustRightInd w:val="0"/>
        <w:snapToGrid w:val="0"/>
        <w:spacing w:before="50" w:after="50" w:line="360" w:lineRule="auto"/>
        <w:ind w:firstLine="480" w:firstLineChars="200"/>
        <w:rPr>
          <w:rFonts w:hint="default"/>
          <w:sz w:val="24"/>
          <w:szCs w:val="24"/>
          <w:lang w:val="en-US" w:eastAsia="zh-CN"/>
        </w:rPr>
      </w:pPr>
      <w:r>
        <w:rPr>
          <w:rFonts w:hint="eastAsia" w:eastAsia="宋体"/>
          <w:color w:val="auto"/>
          <w:sz w:val="24"/>
          <w:szCs w:val="24"/>
          <w:lang w:val="en-US" w:eastAsia="zh-CN"/>
        </w:rPr>
        <w:t>2023年9月26日</w:t>
      </w:r>
      <w:r>
        <w:rPr>
          <w:rFonts w:hint="eastAsia"/>
          <w:sz w:val="24"/>
          <w:szCs w:val="24"/>
          <w:lang w:val="en-US" w:eastAsia="zh-CN"/>
        </w:rPr>
        <w:t>，中广核核技术发展股份有限公司（以下简称“公司”或“中广核技</w:t>
      </w:r>
      <w:r>
        <w:rPr>
          <w:rFonts w:hint="eastAsia"/>
          <w:color w:val="auto"/>
          <w:sz w:val="24"/>
          <w:szCs w:val="24"/>
          <w:lang w:val="en-US" w:eastAsia="zh-CN"/>
        </w:rPr>
        <w:t>”）第十届董事会第十次会议</w:t>
      </w:r>
      <w:r>
        <w:rPr>
          <w:rFonts w:hint="eastAsia"/>
          <w:sz w:val="24"/>
          <w:szCs w:val="24"/>
          <w:lang w:val="en-US" w:eastAsia="zh-CN"/>
        </w:rPr>
        <w:t>审议通过了《关于汇邦投资、五洲成大等六家公司破产处置的议案》，公司董事会同意大连国合汇邦房地产投资管理有限公司（含其下属全资子公司3家）、大连五洲成大建设发展有限公司（含其下属全资子公司1家）破产清算。本事项在董事会权限内，无须提交股东大会审议。</w:t>
      </w:r>
    </w:p>
    <w:p>
      <w:pPr>
        <w:adjustRightInd w:val="0"/>
        <w:snapToGrid w:val="0"/>
        <w:spacing w:before="50" w:after="50" w:line="360" w:lineRule="auto"/>
        <w:ind w:firstLine="482" w:firstLineChars="200"/>
        <w:rPr>
          <w:rFonts w:hint="default"/>
          <w:b/>
          <w:bCs/>
          <w:sz w:val="24"/>
          <w:szCs w:val="24"/>
          <w:lang w:val="en-US" w:eastAsia="zh-CN"/>
        </w:rPr>
      </w:pPr>
      <w:r>
        <w:rPr>
          <w:rFonts w:hint="eastAsia"/>
          <w:b/>
          <w:bCs/>
          <w:sz w:val="24"/>
          <w:szCs w:val="24"/>
          <w:lang w:val="en-US" w:eastAsia="zh-CN"/>
        </w:rPr>
        <w:t>二、标的公司的基本情况</w:t>
      </w:r>
    </w:p>
    <w:p>
      <w:pPr>
        <w:adjustRightInd w:val="0"/>
        <w:snapToGrid w:val="0"/>
        <w:spacing w:before="50" w:after="50" w:line="360" w:lineRule="auto"/>
        <w:ind w:firstLine="482" w:firstLineChars="200"/>
        <w:rPr>
          <w:rFonts w:hint="default" w:eastAsia="宋体"/>
          <w:b/>
          <w:bCs/>
          <w:sz w:val="24"/>
          <w:szCs w:val="24"/>
          <w:lang w:val="en-US" w:eastAsia="zh-CN"/>
        </w:rPr>
      </w:pPr>
      <w:r>
        <w:rPr>
          <w:rFonts w:hint="eastAsia"/>
          <w:b/>
          <w:bCs/>
          <w:sz w:val="24"/>
          <w:szCs w:val="24"/>
          <w:lang w:val="en-US" w:eastAsia="zh-CN"/>
        </w:rPr>
        <w:t>（一）大连国合汇邦房地产投资管理有限公司（以下简称“汇邦投资”）</w:t>
      </w:r>
    </w:p>
    <w:p>
      <w:pPr>
        <w:adjustRightInd w:val="0"/>
        <w:snapToGrid w:val="0"/>
        <w:spacing w:before="50" w:after="50" w:line="360" w:lineRule="auto"/>
        <w:ind w:firstLine="480" w:firstLineChars="200"/>
        <w:rPr>
          <w:rFonts w:hint="default" w:eastAsia="宋体"/>
          <w:sz w:val="24"/>
          <w:szCs w:val="24"/>
          <w:lang w:val="en-US" w:eastAsia="zh-CN"/>
        </w:rPr>
      </w:pPr>
      <w:r>
        <w:rPr>
          <w:rFonts w:hint="eastAsia"/>
          <w:sz w:val="24"/>
          <w:szCs w:val="24"/>
          <w:lang w:val="en-US" w:eastAsia="zh-CN"/>
        </w:rPr>
        <w:t>1、基本情况</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公司名称：大连国合汇邦房地产投资管理有限公司</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注册地址：辽宁省大连市西岗区民运街25号1108室</w:t>
      </w:r>
    </w:p>
    <w:p>
      <w:pPr>
        <w:adjustRightInd w:val="0"/>
        <w:snapToGrid w:val="0"/>
        <w:spacing w:before="50" w:after="50" w:line="360" w:lineRule="auto"/>
        <w:ind w:firstLine="480" w:firstLineChars="200"/>
        <w:rPr>
          <w:rFonts w:hint="default"/>
          <w:sz w:val="24"/>
          <w:szCs w:val="24"/>
          <w:lang w:val="en-US" w:eastAsia="zh-CN"/>
        </w:rPr>
      </w:pPr>
      <w:r>
        <w:rPr>
          <w:rFonts w:hint="eastAsia"/>
          <w:sz w:val="24"/>
          <w:szCs w:val="24"/>
          <w:lang w:val="en-US" w:eastAsia="zh-CN"/>
        </w:rPr>
        <w:t>法定代表人：盖宝林</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成立日期：2007年9月27日</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经营范围：项目投资及管理；房地产开发及销售；企业管理服务；建筑材料研发；工程招标代理、工程造价咨询、工程项目管理；经济信息咨询（依法须经批准的项目，经相关部门批准后方可开展经营活动）</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股权结构：公司持有汇邦投资80%的股权，汇邦投资有三家全资子公司，分别是沈阳国合汇邦房地产开发有限公司、大连汇邦置业有限公司、营口国合汇邦房地产开发有限公司。</w:t>
      </w:r>
    </w:p>
    <w:p>
      <w:pPr>
        <w:numPr>
          <w:ilvl w:val="0"/>
          <w:numId w:val="2"/>
        </w:num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主要财务数据（合并报表）</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r>
        <w:rPr>
          <w:rFonts w:hint="eastAsia"/>
          <w:sz w:val="15"/>
          <w:szCs w:val="15"/>
          <w:lang w:val="en-US" w:eastAsia="zh-CN"/>
        </w:rPr>
        <w:t>单位：万元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7"/>
        <w:gridCol w:w="2896"/>
        <w:gridCol w:w="2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7" w:type="dxa"/>
            <w:shd w:val="clear" w:color="auto" w:fill="D7D7D7"/>
            <w:noWrap w:val="0"/>
            <w:vAlign w:val="top"/>
          </w:tcPr>
          <w:p>
            <w:pPr>
              <w:adjustRightInd w:val="0"/>
              <w:snapToGrid w:val="0"/>
              <w:spacing w:before="50" w:after="50" w:line="360" w:lineRule="auto"/>
              <w:rPr>
                <w:szCs w:val="21"/>
              </w:rPr>
            </w:pPr>
          </w:p>
        </w:tc>
        <w:tc>
          <w:tcPr>
            <w:tcW w:w="2896" w:type="dxa"/>
            <w:shd w:val="clear" w:color="auto" w:fill="D7D7D7"/>
            <w:noWrap w:val="0"/>
            <w:vAlign w:val="top"/>
          </w:tcPr>
          <w:p>
            <w:pPr>
              <w:adjustRightInd w:val="0"/>
              <w:snapToGrid w:val="0"/>
              <w:spacing w:before="50" w:after="50" w:line="360" w:lineRule="auto"/>
              <w:rPr>
                <w:szCs w:val="21"/>
              </w:rPr>
            </w:pPr>
            <w:r>
              <w:rPr>
                <w:rFonts w:hint="eastAsia"/>
                <w:szCs w:val="21"/>
              </w:rPr>
              <w:t>2022年12月31日（经审计）</w:t>
            </w:r>
          </w:p>
        </w:tc>
        <w:tc>
          <w:tcPr>
            <w:tcW w:w="2850" w:type="dxa"/>
            <w:shd w:val="clear" w:color="auto" w:fill="D7D7D7"/>
            <w:noWrap w:val="0"/>
            <w:vAlign w:val="top"/>
          </w:tcPr>
          <w:p>
            <w:pPr>
              <w:adjustRightInd w:val="0"/>
              <w:snapToGrid w:val="0"/>
              <w:spacing w:before="50" w:after="50" w:line="360" w:lineRule="auto"/>
              <w:rPr>
                <w:szCs w:val="21"/>
              </w:rPr>
            </w:pPr>
            <w:r>
              <w:rPr>
                <w:rFonts w:hint="eastAsia"/>
                <w:szCs w:val="21"/>
              </w:rPr>
              <w:t>2023年6月30日（未经审计）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noWrap w:val="0"/>
            <w:vAlign w:val="top"/>
          </w:tcPr>
          <w:p>
            <w:pPr>
              <w:adjustRightInd w:val="0"/>
              <w:snapToGrid w:val="0"/>
              <w:spacing w:before="50" w:after="50" w:line="360" w:lineRule="auto"/>
              <w:rPr>
                <w:szCs w:val="21"/>
              </w:rPr>
            </w:pPr>
            <w:r>
              <w:rPr>
                <w:rFonts w:hint="eastAsia"/>
                <w:szCs w:val="21"/>
              </w:rPr>
              <w:t>资产总额</w:t>
            </w:r>
          </w:p>
        </w:tc>
        <w:tc>
          <w:tcPr>
            <w:tcW w:w="2896" w:type="dxa"/>
            <w:noWrap w:val="0"/>
            <w:vAlign w:val="top"/>
          </w:tcPr>
          <w:p>
            <w:pPr>
              <w:adjustRightInd w:val="0"/>
              <w:snapToGrid w:val="0"/>
              <w:spacing w:before="50" w:after="50" w:line="360" w:lineRule="auto"/>
              <w:jc w:val="right"/>
              <w:rPr>
                <w:szCs w:val="21"/>
              </w:rPr>
            </w:pPr>
            <w:r>
              <w:rPr>
                <w:rFonts w:hint="eastAsia"/>
                <w:szCs w:val="21"/>
              </w:rPr>
              <w:t>9</w:t>
            </w:r>
            <w:r>
              <w:rPr>
                <w:szCs w:val="21"/>
              </w:rPr>
              <w:t>,310.43</w:t>
            </w:r>
          </w:p>
        </w:tc>
        <w:tc>
          <w:tcPr>
            <w:tcW w:w="2850" w:type="dxa"/>
            <w:noWrap w:val="0"/>
            <w:vAlign w:val="top"/>
          </w:tcPr>
          <w:p>
            <w:pPr>
              <w:adjustRightInd w:val="0"/>
              <w:snapToGrid w:val="0"/>
              <w:spacing w:before="50" w:after="50" w:line="360" w:lineRule="auto"/>
              <w:jc w:val="right"/>
              <w:rPr>
                <w:szCs w:val="21"/>
              </w:rPr>
            </w:pPr>
            <w:r>
              <w:rPr>
                <w:rFonts w:hint="eastAsia"/>
                <w:szCs w:val="21"/>
              </w:rPr>
              <w:t>6</w:t>
            </w:r>
            <w:r>
              <w:rPr>
                <w:szCs w:val="21"/>
              </w:rPr>
              <w:t>,774.16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noWrap w:val="0"/>
            <w:vAlign w:val="top"/>
          </w:tcPr>
          <w:p>
            <w:pPr>
              <w:adjustRightInd w:val="0"/>
              <w:snapToGrid w:val="0"/>
              <w:spacing w:before="50" w:after="50" w:line="360" w:lineRule="auto"/>
              <w:rPr>
                <w:szCs w:val="21"/>
              </w:rPr>
            </w:pPr>
            <w:r>
              <w:rPr>
                <w:rFonts w:hint="eastAsia"/>
                <w:szCs w:val="21"/>
              </w:rPr>
              <w:t>负债总额</w:t>
            </w:r>
          </w:p>
        </w:tc>
        <w:tc>
          <w:tcPr>
            <w:tcW w:w="2896" w:type="dxa"/>
            <w:noWrap w:val="0"/>
            <w:vAlign w:val="top"/>
          </w:tcPr>
          <w:p>
            <w:pPr>
              <w:adjustRightInd w:val="0"/>
              <w:snapToGrid w:val="0"/>
              <w:spacing w:before="50" w:after="50" w:line="360" w:lineRule="auto"/>
              <w:jc w:val="right"/>
              <w:rPr>
                <w:szCs w:val="21"/>
              </w:rPr>
            </w:pPr>
            <w:r>
              <w:rPr>
                <w:rFonts w:hint="eastAsia"/>
                <w:szCs w:val="21"/>
              </w:rPr>
              <w:t>2</w:t>
            </w:r>
            <w:r>
              <w:rPr>
                <w:szCs w:val="21"/>
              </w:rPr>
              <w:t>6,016.20</w:t>
            </w:r>
          </w:p>
        </w:tc>
        <w:tc>
          <w:tcPr>
            <w:tcW w:w="2850" w:type="dxa"/>
            <w:noWrap w:val="0"/>
            <w:vAlign w:val="top"/>
          </w:tcPr>
          <w:p>
            <w:pPr>
              <w:adjustRightInd w:val="0"/>
              <w:snapToGrid w:val="0"/>
              <w:spacing w:before="50" w:after="50" w:line="360" w:lineRule="auto"/>
              <w:jc w:val="right"/>
              <w:rPr>
                <w:szCs w:val="21"/>
              </w:rPr>
            </w:pPr>
            <w:r>
              <w:rPr>
                <w:rFonts w:hint="eastAsia"/>
                <w:szCs w:val="21"/>
              </w:rPr>
              <w:t>2</w:t>
            </w:r>
            <w:r>
              <w:rPr>
                <w:szCs w:val="21"/>
              </w:rPr>
              <w:t>3,957.36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noWrap w:val="0"/>
            <w:vAlign w:val="top"/>
          </w:tcPr>
          <w:p>
            <w:pPr>
              <w:adjustRightInd w:val="0"/>
              <w:snapToGrid w:val="0"/>
              <w:spacing w:before="50" w:after="50" w:line="360" w:lineRule="auto"/>
              <w:rPr>
                <w:szCs w:val="21"/>
              </w:rPr>
            </w:pPr>
            <w:r>
              <w:rPr>
                <w:rFonts w:hint="eastAsia"/>
                <w:szCs w:val="21"/>
              </w:rPr>
              <w:t>净资产</w:t>
            </w:r>
          </w:p>
        </w:tc>
        <w:tc>
          <w:tcPr>
            <w:tcW w:w="2896" w:type="dxa"/>
            <w:noWrap w:val="0"/>
            <w:vAlign w:val="top"/>
          </w:tcPr>
          <w:p>
            <w:pPr>
              <w:adjustRightInd w:val="0"/>
              <w:snapToGrid w:val="0"/>
              <w:spacing w:before="50" w:after="50" w:line="360" w:lineRule="auto"/>
              <w:jc w:val="right"/>
              <w:rPr>
                <w:szCs w:val="21"/>
              </w:rPr>
            </w:pPr>
            <w:r>
              <w:rPr>
                <w:rFonts w:hint="eastAsia"/>
                <w:szCs w:val="21"/>
              </w:rPr>
              <w:t>-</w:t>
            </w:r>
            <w:r>
              <w:rPr>
                <w:szCs w:val="21"/>
              </w:rPr>
              <w:t>16,705.77</w:t>
            </w:r>
          </w:p>
        </w:tc>
        <w:tc>
          <w:tcPr>
            <w:tcW w:w="2850" w:type="dxa"/>
            <w:noWrap w:val="0"/>
            <w:vAlign w:val="top"/>
          </w:tcPr>
          <w:p>
            <w:pPr>
              <w:adjustRightInd w:val="0"/>
              <w:snapToGrid w:val="0"/>
              <w:spacing w:before="50" w:after="50" w:line="360" w:lineRule="auto"/>
              <w:jc w:val="right"/>
              <w:rPr>
                <w:szCs w:val="21"/>
              </w:rPr>
            </w:pPr>
            <w:r>
              <w:rPr>
                <w:rFonts w:hint="eastAsia"/>
                <w:szCs w:val="21"/>
              </w:rPr>
              <w:t>-</w:t>
            </w:r>
            <w:r>
              <w:rPr>
                <w:szCs w:val="21"/>
              </w:rPr>
              <w:t>17,183.20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shd w:val="clear" w:color="auto" w:fill="D7D7D7"/>
            <w:noWrap w:val="0"/>
            <w:vAlign w:val="top"/>
          </w:tcPr>
          <w:p>
            <w:pPr>
              <w:adjustRightInd w:val="0"/>
              <w:snapToGrid w:val="0"/>
              <w:spacing w:before="50" w:after="50" w:line="360" w:lineRule="auto"/>
              <w:rPr>
                <w:rFonts w:hint="eastAsia"/>
                <w:szCs w:val="21"/>
              </w:rPr>
            </w:pPr>
          </w:p>
        </w:tc>
        <w:tc>
          <w:tcPr>
            <w:tcW w:w="2896" w:type="dxa"/>
            <w:shd w:val="clear" w:color="auto" w:fill="D7D7D7"/>
            <w:noWrap w:val="0"/>
            <w:vAlign w:val="top"/>
          </w:tcPr>
          <w:p>
            <w:pPr>
              <w:adjustRightInd w:val="0"/>
              <w:snapToGrid w:val="0"/>
              <w:spacing w:before="50" w:after="50" w:line="360" w:lineRule="auto"/>
              <w:rPr>
                <w:szCs w:val="21"/>
              </w:rPr>
            </w:pPr>
            <w:r>
              <w:rPr>
                <w:rFonts w:hint="eastAsia"/>
                <w:szCs w:val="21"/>
              </w:rPr>
              <w:t>2022年度（经审计）</w:t>
            </w:r>
          </w:p>
        </w:tc>
        <w:tc>
          <w:tcPr>
            <w:tcW w:w="2850" w:type="dxa"/>
            <w:shd w:val="clear" w:color="auto" w:fill="D7D7D7"/>
            <w:noWrap w:val="0"/>
            <w:vAlign w:val="top"/>
          </w:tcPr>
          <w:p>
            <w:pPr>
              <w:adjustRightInd w:val="0"/>
              <w:snapToGrid w:val="0"/>
              <w:spacing w:before="50" w:after="50" w:line="360" w:lineRule="auto"/>
              <w:rPr>
                <w:szCs w:val="21"/>
              </w:rPr>
            </w:pPr>
            <w:r>
              <w:rPr>
                <w:rFonts w:hint="eastAsia"/>
                <w:szCs w:val="21"/>
              </w:rPr>
              <w:t>2023年1-6月（未经审计）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7" w:type="dxa"/>
            <w:noWrap w:val="0"/>
            <w:vAlign w:val="top"/>
          </w:tcPr>
          <w:p>
            <w:pPr>
              <w:adjustRightInd w:val="0"/>
              <w:snapToGrid w:val="0"/>
              <w:spacing w:before="50" w:after="50" w:line="360" w:lineRule="auto"/>
              <w:rPr>
                <w:szCs w:val="21"/>
              </w:rPr>
            </w:pPr>
            <w:r>
              <w:rPr>
                <w:rFonts w:hint="eastAsia"/>
                <w:szCs w:val="21"/>
              </w:rPr>
              <w:t>营业收入</w:t>
            </w:r>
          </w:p>
        </w:tc>
        <w:tc>
          <w:tcPr>
            <w:tcW w:w="2896" w:type="dxa"/>
            <w:noWrap w:val="0"/>
            <w:vAlign w:val="top"/>
          </w:tcPr>
          <w:p>
            <w:pPr>
              <w:adjustRightInd w:val="0"/>
              <w:snapToGrid w:val="0"/>
              <w:spacing w:before="50" w:after="50" w:line="360" w:lineRule="auto"/>
              <w:jc w:val="right"/>
              <w:rPr>
                <w:szCs w:val="21"/>
              </w:rPr>
            </w:pPr>
            <w:r>
              <w:rPr>
                <w:rFonts w:hint="eastAsia"/>
                <w:szCs w:val="21"/>
              </w:rPr>
              <w:t>8</w:t>
            </w:r>
            <w:r>
              <w:rPr>
                <w:szCs w:val="21"/>
              </w:rPr>
              <w:t>02.64</w:t>
            </w:r>
          </w:p>
        </w:tc>
        <w:tc>
          <w:tcPr>
            <w:tcW w:w="2850" w:type="dxa"/>
            <w:noWrap w:val="0"/>
            <w:vAlign w:val="top"/>
          </w:tcPr>
          <w:p>
            <w:pPr>
              <w:adjustRightInd w:val="0"/>
              <w:snapToGrid w:val="0"/>
              <w:spacing w:before="50" w:after="50" w:line="360" w:lineRule="auto"/>
              <w:jc w:val="right"/>
              <w:rPr>
                <w:szCs w:val="21"/>
              </w:rPr>
            </w:pPr>
            <w:r>
              <w:rPr>
                <w:rFonts w:hint="eastAsia"/>
                <w:szCs w:val="21"/>
              </w:rPr>
              <w:t>2</w:t>
            </w:r>
            <w:r>
              <w:rPr>
                <w:szCs w:val="21"/>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7" w:type="dxa"/>
            <w:noWrap w:val="0"/>
            <w:vAlign w:val="top"/>
          </w:tcPr>
          <w:p>
            <w:pPr>
              <w:adjustRightInd w:val="0"/>
              <w:snapToGrid w:val="0"/>
              <w:spacing w:before="50" w:after="50" w:line="360" w:lineRule="auto"/>
              <w:rPr>
                <w:szCs w:val="21"/>
              </w:rPr>
            </w:pPr>
            <w:r>
              <w:rPr>
                <w:rFonts w:hint="eastAsia"/>
                <w:szCs w:val="21"/>
              </w:rPr>
              <w:t>净利润</w:t>
            </w:r>
          </w:p>
        </w:tc>
        <w:tc>
          <w:tcPr>
            <w:tcW w:w="2896" w:type="dxa"/>
            <w:noWrap w:val="0"/>
            <w:vAlign w:val="top"/>
          </w:tcPr>
          <w:p>
            <w:pPr>
              <w:adjustRightInd w:val="0"/>
              <w:snapToGrid w:val="0"/>
              <w:spacing w:before="50" w:after="50" w:line="360" w:lineRule="auto"/>
              <w:jc w:val="right"/>
              <w:rPr>
                <w:szCs w:val="21"/>
              </w:rPr>
            </w:pPr>
            <w:r>
              <w:rPr>
                <w:rFonts w:hint="eastAsia"/>
                <w:szCs w:val="21"/>
              </w:rPr>
              <w:t>-</w:t>
            </w:r>
            <w:r>
              <w:rPr>
                <w:szCs w:val="21"/>
              </w:rPr>
              <w:t>1,307.22</w:t>
            </w:r>
          </w:p>
        </w:tc>
        <w:tc>
          <w:tcPr>
            <w:tcW w:w="2850" w:type="dxa"/>
            <w:noWrap w:val="0"/>
            <w:vAlign w:val="top"/>
          </w:tcPr>
          <w:p>
            <w:pPr>
              <w:adjustRightInd w:val="0"/>
              <w:snapToGrid w:val="0"/>
              <w:spacing w:before="50" w:after="50" w:line="360" w:lineRule="auto"/>
              <w:jc w:val="right"/>
              <w:rPr>
                <w:szCs w:val="21"/>
              </w:rPr>
            </w:pPr>
            <w:r>
              <w:rPr>
                <w:rFonts w:hint="eastAsia"/>
                <w:szCs w:val="21"/>
              </w:rPr>
              <w:t>-</w:t>
            </w:r>
            <w:r>
              <w:rPr>
                <w:szCs w:val="21"/>
              </w:rPr>
              <w:t>477.43</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p>
    <w:p>
      <w:pPr>
        <w:adjustRightInd w:val="0"/>
        <w:snapToGrid w:val="0"/>
        <w:spacing w:before="50" w:after="50" w:line="360" w:lineRule="auto"/>
        <w:ind w:firstLine="482" w:firstLineChars="200"/>
        <w:rPr>
          <w:rFonts w:hint="default" w:eastAsia="宋体"/>
          <w:b/>
          <w:bCs/>
          <w:sz w:val="24"/>
          <w:szCs w:val="24"/>
          <w:lang w:val="en-US" w:eastAsia="zh-CN"/>
        </w:rPr>
      </w:pPr>
      <w:r>
        <w:rPr>
          <w:rFonts w:hint="eastAsia"/>
          <w:b/>
          <w:bCs/>
          <w:sz w:val="24"/>
          <w:szCs w:val="24"/>
          <w:lang w:val="en-US" w:eastAsia="zh-CN"/>
        </w:rPr>
        <w:t>（二）大连五洲成大建设发展有限公司（以下简称“五洲成大”）</w:t>
      </w:r>
    </w:p>
    <w:p>
      <w:pPr>
        <w:adjustRightInd w:val="0"/>
        <w:snapToGrid w:val="0"/>
        <w:spacing w:before="50" w:after="50" w:line="360" w:lineRule="auto"/>
        <w:ind w:firstLine="480" w:firstLineChars="200"/>
        <w:rPr>
          <w:rFonts w:hint="default" w:eastAsia="宋体"/>
          <w:sz w:val="24"/>
          <w:szCs w:val="24"/>
          <w:lang w:val="en-US" w:eastAsia="zh-CN"/>
        </w:rPr>
      </w:pPr>
      <w:r>
        <w:rPr>
          <w:rFonts w:hint="eastAsia"/>
          <w:sz w:val="24"/>
          <w:szCs w:val="24"/>
          <w:lang w:val="en-US" w:eastAsia="zh-CN"/>
        </w:rPr>
        <w:t>1、基本情况</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公司名称：大连五洲成大建设发展有限公司</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注册地址：辽宁省大连市旅顺北路三涧段588号</w:t>
      </w:r>
    </w:p>
    <w:p>
      <w:pPr>
        <w:adjustRightInd w:val="0"/>
        <w:snapToGrid w:val="0"/>
        <w:spacing w:before="50" w:after="50" w:line="360" w:lineRule="auto"/>
        <w:ind w:firstLine="480" w:firstLineChars="200"/>
        <w:rPr>
          <w:rFonts w:hint="default"/>
          <w:sz w:val="24"/>
          <w:szCs w:val="24"/>
          <w:lang w:val="en-US" w:eastAsia="zh-CN"/>
        </w:rPr>
      </w:pPr>
      <w:r>
        <w:rPr>
          <w:rFonts w:hint="eastAsia"/>
          <w:sz w:val="24"/>
          <w:szCs w:val="24"/>
          <w:lang w:val="en-US" w:eastAsia="zh-CN"/>
        </w:rPr>
        <w:t>法定代表人：孙国良</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成立日期：2009年11月17日</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经营范围：建筑工程设计与施工，房地产开发、销售、出租（以上项目凭资质证经营），货物进出口、技术进出口（法律、行政法规禁止的项目除外；法律、行政法规限制项目取得许可后方可经营），项目投资及咨询服务（依法须经批准的项目，经相关部门批准后方可开展经营活动。）</w:t>
      </w:r>
    </w:p>
    <w:p>
      <w:p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股权结构：公司持有五洲成大100%的股权，五洲成大下属一家全资子公司大连国合万家健康服务有限公司。</w:t>
      </w:r>
    </w:p>
    <w:p>
      <w:pPr>
        <w:numPr>
          <w:ilvl w:val="0"/>
          <w:numId w:val="0"/>
        </w:numPr>
        <w:adjustRightInd w:val="0"/>
        <w:snapToGrid w:val="0"/>
        <w:spacing w:before="50" w:after="50" w:line="360" w:lineRule="auto"/>
        <w:ind w:firstLine="480" w:firstLineChars="200"/>
        <w:rPr>
          <w:rFonts w:hint="eastAsia"/>
          <w:sz w:val="24"/>
          <w:szCs w:val="24"/>
          <w:lang w:val="en-US" w:eastAsia="zh-CN"/>
        </w:rPr>
      </w:pPr>
      <w:r>
        <w:rPr>
          <w:rFonts w:hint="eastAsia"/>
          <w:sz w:val="24"/>
          <w:szCs w:val="24"/>
          <w:lang w:val="en-US" w:eastAsia="zh-CN"/>
        </w:rPr>
        <w:t>2、主要财务数据（合并报表）</w:t>
      </w:r>
    </w:p>
    <w:p>
      <w:pPr>
        <w:numPr>
          <w:ilvl w:val="0"/>
          <w:numId w:val="0"/>
        </w:numPr>
        <w:adjustRightInd w:val="0"/>
        <w:snapToGrid w:val="0"/>
        <w:spacing w:before="50" w:after="50" w:line="360" w:lineRule="auto"/>
        <w:ind w:firstLine="480" w:firstLineChars="200"/>
        <w:rPr>
          <w:rFonts w:hint="eastAsia"/>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right"/>
        <w:textAlignment w:val="auto"/>
        <w:rPr>
          <w:rFonts w:hint="eastAsia"/>
          <w:sz w:val="15"/>
          <w:szCs w:val="15"/>
          <w:lang w:val="en-US" w:eastAsia="zh-CN"/>
        </w:rPr>
      </w:pPr>
      <w:r>
        <w:rPr>
          <w:rFonts w:hint="eastAsia"/>
          <w:sz w:val="15"/>
          <w:szCs w:val="15"/>
          <w:lang w:val="en-US" w:eastAsia="zh-CN"/>
        </w:rPr>
        <w:t>单位：万元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7"/>
        <w:gridCol w:w="2896"/>
        <w:gridCol w:w="2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7" w:type="dxa"/>
            <w:shd w:val="clear" w:color="auto" w:fill="D7D7D7"/>
            <w:noWrap w:val="0"/>
            <w:vAlign w:val="top"/>
          </w:tcPr>
          <w:p>
            <w:pPr>
              <w:adjustRightInd w:val="0"/>
              <w:snapToGrid w:val="0"/>
              <w:spacing w:before="50" w:after="50" w:line="360" w:lineRule="auto"/>
              <w:rPr>
                <w:szCs w:val="21"/>
              </w:rPr>
            </w:pPr>
          </w:p>
        </w:tc>
        <w:tc>
          <w:tcPr>
            <w:tcW w:w="2896" w:type="dxa"/>
            <w:shd w:val="clear" w:color="auto" w:fill="D7D7D7"/>
            <w:noWrap w:val="0"/>
            <w:vAlign w:val="top"/>
          </w:tcPr>
          <w:p>
            <w:pPr>
              <w:adjustRightInd w:val="0"/>
              <w:snapToGrid w:val="0"/>
              <w:spacing w:before="50" w:after="50" w:line="360" w:lineRule="auto"/>
              <w:rPr>
                <w:szCs w:val="21"/>
              </w:rPr>
            </w:pPr>
            <w:r>
              <w:rPr>
                <w:rFonts w:hint="eastAsia"/>
                <w:szCs w:val="21"/>
              </w:rPr>
              <w:t>2022年12月31日（经审计）</w:t>
            </w:r>
          </w:p>
        </w:tc>
        <w:tc>
          <w:tcPr>
            <w:tcW w:w="2850" w:type="dxa"/>
            <w:shd w:val="clear" w:color="auto" w:fill="D7D7D7"/>
            <w:noWrap w:val="0"/>
            <w:vAlign w:val="top"/>
          </w:tcPr>
          <w:p>
            <w:pPr>
              <w:adjustRightInd w:val="0"/>
              <w:snapToGrid w:val="0"/>
              <w:spacing w:before="50" w:after="50" w:line="360" w:lineRule="auto"/>
              <w:rPr>
                <w:szCs w:val="21"/>
              </w:rPr>
            </w:pPr>
            <w:r>
              <w:rPr>
                <w:rFonts w:hint="eastAsia"/>
                <w:szCs w:val="21"/>
              </w:rPr>
              <w:t>2023年6月30日（未经审计）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noWrap w:val="0"/>
            <w:vAlign w:val="top"/>
          </w:tcPr>
          <w:p>
            <w:pPr>
              <w:adjustRightInd w:val="0"/>
              <w:snapToGrid w:val="0"/>
              <w:spacing w:before="50" w:after="50" w:line="360" w:lineRule="auto"/>
              <w:rPr>
                <w:szCs w:val="21"/>
              </w:rPr>
            </w:pPr>
            <w:r>
              <w:rPr>
                <w:rFonts w:hint="eastAsia"/>
                <w:szCs w:val="21"/>
              </w:rPr>
              <w:t>资产总额</w:t>
            </w:r>
          </w:p>
        </w:tc>
        <w:tc>
          <w:tcPr>
            <w:tcW w:w="2896" w:type="dxa"/>
            <w:noWrap w:val="0"/>
            <w:vAlign w:val="top"/>
          </w:tcPr>
          <w:p>
            <w:pPr>
              <w:adjustRightInd w:val="0"/>
              <w:snapToGrid w:val="0"/>
              <w:spacing w:before="50" w:after="50" w:line="360" w:lineRule="auto"/>
              <w:jc w:val="right"/>
              <w:rPr>
                <w:szCs w:val="21"/>
              </w:rPr>
            </w:pPr>
            <w:r>
              <w:rPr>
                <w:rFonts w:hint="eastAsia"/>
                <w:szCs w:val="21"/>
              </w:rPr>
              <w:t>1</w:t>
            </w:r>
            <w:r>
              <w:rPr>
                <w:szCs w:val="21"/>
              </w:rPr>
              <w:t>6,565.99</w:t>
            </w:r>
          </w:p>
        </w:tc>
        <w:tc>
          <w:tcPr>
            <w:tcW w:w="2850" w:type="dxa"/>
            <w:noWrap w:val="0"/>
            <w:vAlign w:val="top"/>
          </w:tcPr>
          <w:p>
            <w:pPr>
              <w:adjustRightInd w:val="0"/>
              <w:snapToGrid w:val="0"/>
              <w:spacing w:before="50" w:after="50" w:line="360" w:lineRule="auto"/>
              <w:jc w:val="right"/>
              <w:rPr>
                <w:szCs w:val="21"/>
              </w:rPr>
            </w:pPr>
            <w:r>
              <w:rPr>
                <w:rFonts w:hint="eastAsia"/>
                <w:szCs w:val="21"/>
              </w:rPr>
              <w:t>1</w:t>
            </w:r>
            <w:r>
              <w:rPr>
                <w:szCs w:val="21"/>
              </w:rPr>
              <w:t>6</w:t>
            </w:r>
            <w:r>
              <w:rPr>
                <w:rFonts w:hint="eastAsia"/>
                <w:szCs w:val="21"/>
              </w:rPr>
              <w:t>,</w:t>
            </w:r>
            <w:r>
              <w:rPr>
                <w:szCs w:val="21"/>
              </w:rPr>
              <w:t>952.32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noWrap w:val="0"/>
            <w:vAlign w:val="top"/>
          </w:tcPr>
          <w:p>
            <w:pPr>
              <w:adjustRightInd w:val="0"/>
              <w:snapToGrid w:val="0"/>
              <w:spacing w:before="50" w:after="50" w:line="360" w:lineRule="auto"/>
              <w:rPr>
                <w:szCs w:val="21"/>
              </w:rPr>
            </w:pPr>
            <w:r>
              <w:rPr>
                <w:rFonts w:hint="eastAsia"/>
                <w:szCs w:val="21"/>
              </w:rPr>
              <w:t>负债总额</w:t>
            </w:r>
          </w:p>
        </w:tc>
        <w:tc>
          <w:tcPr>
            <w:tcW w:w="2896" w:type="dxa"/>
            <w:noWrap w:val="0"/>
            <w:vAlign w:val="top"/>
          </w:tcPr>
          <w:p>
            <w:pPr>
              <w:adjustRightInd w:val="0"/>
              <w:snapToGrid w:val="0"/>
              <w:spacing w:before="50" w:after="50" w:line="360" w:lineRule="auto"/>
              <w:jc w:val="right"/>
              <w:rPr>
                <w:szCs w:val="21"/>
              </w:rPr>
            </w:pPr>
            <w:r>
              <w:rPr>
                <w:rFonts w:hint="eastAsia"/>
                <w:szCs w:val="21"/>
              </w:rPr>
              <w:t>2</w:t>
            </w:r>
            <w:r>
              <w:rPr>
                <w:szCs w:val="21"/>
              </w:rPr>
              <w:t>1,458.39</w:t>
            </w:r>
          </w:p>
        </w:tc>
        <w:tc>
          <w:tcPr>
            <w:tcW w:w="2850" w:type="dxa"/>
            <w:noWrap w:val="0"/>
            <w:vAlign w:val="top"/>
          </w:tcPr>
          <w:p>
            <w:pPr>
              <w:adjustRightInd w:val="0"/>
              <w:snapToGrid w:val="0"/>
              <w:spacing w:before="50" w:after="50" w:line="360" w:lineRule="auto"/>
              <w:jc w:val="right"/>
              <w:rPr>
                <w:szCs w:val="21"/>
              </w:rPr>
            </w:pPr>
            <w:r>
              <w:rPr>
                <w:rFonts w:hint="eastAsia"/>
                <w:szCs w:val="21"/>
              </w:rPr>
              <w:t>2</w:t>
            </w:r>
            <w:r>
              <w:rPr>
                <w:szCs w:val="21"/>
              </w:rPr>
              <w:t>2,245.83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noWrap w:val="0"/>
            <w:vAlign w:val="top"/>
          </w:tcPr>
          <w:p>
            <w:pPr>
              <w:adjustRightInd w:val="0"/>
              <w:snapToGrid w:val="0"/>
              <w:spacing w:before="50" w:after="50" w:line="360" w:lineRule="auto"/>
              <w:rPr>
                <w:szCs w:val="21"/>
              </w:rPr>
            </w:pPr>
            <w:r>
              <w:rPr>
                <w:rFonts w:hint="eastAsia"/>
                <w:szCs w:val="21"/>
              </w:rPr>
              <w:t>净资产</w:t>
            </w:r>
          </w:p>
        </w:tc>
        <w:tc>
          <w:tcPr>
            <w:tcW w:w="2896" w:type="dxa"/>
            <w:noWrap w:val="0"/>
            <w:vAlign w:val="top"/>
          </w:tcPr>
          <w:p>
            <w:pPr>
              <w:adjustRightInd w:val="0"/>
              <w:snapToGrid w:val="0"/>
              <w:spacing w:before="50" w:after="50" w:line="360" w:lineRule="auto"/>
              <w:jc w:val="right"/>
              <w:rPr>
                <w:szCs w:val="21"/>
              </w:rPr>
            </w:pPr>
            <w:r>
              <w:rPr>
                <w:rFonts w:hint="eastAsia"/>
                <w:szCs w:val="21"/>
              </w:rPr>
              <w:t>-</w:t>
            </w:r>
            <w:r>
              <w:rPr>
                <w:szCs w:val="21"/>
              </w:rPr>
              <w:t>4,892.39</w:t>
            </w:r>
          </w:p>
        </w:tc>
        <w:tc>
          <w:tcPr>
            <w:tcW w:w="2850" w:type="dxa"/>
            <w:noWrap w:val="0"/>
            <w:vAlign w:val="top"/>
          </w:tcPr>
          <w:p>
            <w:pPr>
              <w:adjustRightInd w:val="0"/>
              <w:snapToGrid w:val="0"/>
              <w:spacing w:before="50" w:after="50" w:line="360" w:lineRule="auto"/>
              <w:jc w:val="right"/>
              <w:rPr>
                <w:szCs w:val="21"/>
              </w:rPr>
            </w:pPr>
            <w:r>
              <w:rPr>
                <w:rFonts w:hint="eastAsia"/>
                <w:szCs w:val="21"/>
              </w:rPr>
              <w:t>-</w:t>
            </w:r>
            <w:r>
              <w:rPr>
                <w:szCs w:val="21"/>
              </w:rPr>
              <w:t>5,293.51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7" w:type="dxa"/>
            <w:shd w:val="clear" w:color="auto" w:fill="D7D7D7"/>
            <w:noWrap w:val="0"/>
            <w:vAlign w:val="top"/>
          </w:tcPr>
          <w:p>
            <w:pPr>
              <w:adjustRightInd w:val="0"/>
              <w:snapToGrid w:val="0"/>
              <w:spacing w:before="50" w:after="50" w:line="360" w:lineRule="auto"/>
              <w:rPr>
                <w:rFonts w:hint="eastAsia"/>
                <w:szCs w:val="21"/>
              </w:rPr>
            </w:pPr>
          </w:p>
        </w:tc>
        <w:tc>
          <w:tcPr>
            <w:tcW w:w="2896" w:type="dxa"/>
            <w:shd w:val="clear" w:color="auto" w:fill="D7D7D7"/>
            <w:noWrap w:val="0"/>
            <w:vAlign w:val="top"/>
          </w:tcPr>
          <w:p>
            <w:pPr>
              <w:adjustRightInd w:val="0"/>
              <w:snapToGrid w:val="0"/>
              <w:spacing w:before="50" w:after="50" w:line="360" w:lineRule="auto"/>
              <w:rPr>
                <w:szCs w:val="21"/>
              </w:rPr>
            </w:pPr>
            <w:r>
              <w:rPr>
                <w:rFonts w:hint="eastAsia"/>
                <w:szCs w:val="21"/>
              </w:rPr>
              <w:t>2022年度（经审计）</w:t>
            </w:r>
          </w:p>
        </w:tc>
        <w:tc>
          <w:tcPr>
            <w:tcW w:w="2850" w:type="dxa"/>
            <w:shd w:val="clear" w:color="auto" w:fill="D7D7D7"/>
            <w:noWrap w:val="0"/>
            <w:vAlign w:val="top"/>
          </w:tcPr>
          <w:p>
            <w:pPr>
              <w:adjustRightInd w:val="0"/>
              <w:snapToGrid w:val="0"/>
              <w:spacing w:before="50" w:after="50" w:line="360" w:lineRule="auto"/>
              <w:rPr>
                <w:szCs w:val="21"/>
              </w:rPr>
            </w:pPr>
            <w:r>
              <w:rPr>
                <w:rFonts w:hint="eastAsia"/>
                <w:szCs w:val="21"/>
              </w:rPr>
              <w:t>2023年1-6月（未经审计）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7" w:type="dxa"/>
            <w:noWrap w:val="0"/>
            <w:vAlign w:val="top"/>
          </w:tcPr>
          <w:p>
            <w:pPr>
              <w:adjustRightInd w:val="0"/>
              <w:snapToGrid w:val="0"/>
              <w:spacing w:before="50" w:after="50" w:line="360" w:lineRule="auto"/>
              <w:rPr>
                <w:szCs w:val="21"/>
              </w:rPr>
            </w:pPr>
            <w:r>
              <w:rPr>
                <w:rFonts w:hint="eastAsia"/>
                <w:szCs w:val="21"/>
              </w:rPr>
              <w:t>营业收入</w:t>
            </w:r>
          </w:p>
        </w:tc>
        <w:tc>
          <w:tcPr>
            <w:tcW w:w="2896" w:type="dxa"/>
            <w:noWrap w:val="0"/>
            <w:vAlign w:val="top"/>
          </w:tcPr>
          <w:p>
            <w:pPr>
              <w:adjustRightInd w:val="0"/>
              <w:snapToGrid w:val="0"/>
              <w:spacing w:before="50" w:after="50" w:line="360" w:lineRule="auto"/>
              <w:jc w:val="right"/>
              <w:rPr>
                <w:szCs w:val="21"/>
              </w:rPr>
            </w:pPr>
            <w:r>
              <w:rPr>
                <w:rFonts w:hint="eastAsia"/>
                <w:szCs w:val="21"/>
              </w:rPr>
              <w:t>2,309.65</w:t>
            </w:r>
          </w:p>
        </w:tc>
        <w:tc>
          <w:tcPr>
            <w:tcW w:w="2850" w:type="dxa"/>
            <w:noWrap w:val="0"/>
            <w:vAlign w:val="top"/>
          </w:tcPr>
          <w:p>
            <w:pPr>
              <w:adjustRightInd w:val="0"/>
              <w:snapToGrid w:val="0"/>
              <w:spacing w:before="50" w:after="50" w:line="360" w:lineRule="auto"/>
              <w:jc w:val="right"/>
              <w:rPr>
                <w:szCs w:val="21"/>
              </w:rPr>
            </w:pPr>
            <w:r>
              <w:rPr>
                <w:rFonts w:hint="eastAsia"/>
                <w:szCs w:val="21"/>
              </w:rPr>
              <w:t>1</w:t>
            </w:r>
            <w:r>
              <w:rPr>
                <w:szCs w:val="21"/>
              </w:rPr>
              <w:t>20.37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57" w:type="dxa"/>
            <w:noWrap w:val="0"/>
            <w:vAlign w:val="top"/>
          </w:tcPr>
          <w:p>
            <w:pPr>
              <w:adjustRightInd w:val="0"/>
              <w:snapToGrid w:val="0"/>
              <w:spacing w:before="50" w:after="50" w:line="360" w:lineRule="auto"/>
              <w:rPr>
                <w:szCs w:val="21"/>
              </w:rPr>
            </w:pPr>
            <w:r>
              <w:rPr>
                <w:rFonts w:hint="eastAsia"/>
                <w:szCs w:val="21"/>
              </w:rPr>
              <w:t>净利润</w:t>
            </w:r>
          </w:p>
        </w:tc>
        <w:tc>
          <w:tcPr>
            <w:tcW w:w="2896" w:type="dxa"/>
            <w:noWrap w:val="0"/>
            <w:vAlign w:val="top"/>
          </w:tcPr>
          <w:p>
            <w:pPr>
              <w:adjustRightInd w:val="0"/>
              <w:snapToGrid w:val="0"/>
              <w:spacing w:before="50" w:after="50" w:line="360" w:lineRule="auto"/>
              <w:jc w:val="right"/>
              <w:rPr>
                <w:szCs w:val="21"/>
              </w:rPr>
            </w:pPr>
            <w:r>
              <w:rPr>
                <w:rFonts w:hint="eastAsia"/>
                <w:szCs w:val="21"/>
              </w:rPr>
              <w:t>-327.52</w:t>
            </w:r>
          </w:p>
        </w:tc>
        <w:tc>
          <w:tcPr>
            <w:tcW w:w="2850" w:type="dxa"/>
            <w:noWrap w:val="0"/>
            <w:vAlign w:val="top"/>
          </w:tcPr>
          <w:p>
            <w:pPr>
              <w:adjustRightInd w:val="0"/>
              <w:snapToGrid w:val="0"/>
              <w:spacing w:before="50" w:after="50" w:line="360" w:lineRule="auto"/>
              <w:jc w:val="right"/>
              <w:rPr>
                <w:szCs w:val="21"/>
              </w:rPr>
            </w:pPr>
            <w:r>
              <w:rPr>
                <w:rFonts w:hint="eastAsia"/>
                <w:szCs w:val="21"/>
              </w:rPr>
              <w:t>-</w:t>
            </w:r>
            <w:r>
              <w:rPr>
                <w:szCs w:val="21"/>
              </w:rPr>
              <w:t>401.12</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line="360" w:lineRule="auto"/>
        <w:ind w:firstLine="482" w:firstLineChars="200"/>
        <w:jc w:val="both"/>
        <w:textAlignment w:val="auto"/>
        <w:rPr>
          <w:rFonts w:hint="default"/>
          <w:b/>
          <w:bCs/>
          <w:sz w:val="24"/>
          <w:szCs w:val="24"/>
          <w:lang w:val="en-US" w:eastAsia="zh-CN"/>
        </w:rPr>
      </w:pPr>
      <w:r>
        <w:rPr>
          <w:rFonts w:hint="eastAsia"/>
          <w:b/>
          <w:bCs/>
          <w:sz w:val="24"/>
          <w:szCs w:val="24"/>
          <w:lang w:val="en-US" w:eastAsia="zh-CN"/>
        </w:rPr>
        <w:t>三、申请破产清算的原因</w:t>
      </w:r>
    </w:p>
    <w:p>
      <w:pPr>
        <w:widowControl w:val="0"/>
        <w:numPr>
          <w:ilvl w:val="0"/>
          <w:numId w:val="0"/>
        </w:numPr>
        <w:adjustRightInd w:val="0"/>
        <w:snapToGrid w:val="0"/>
        <w:spacing w:before="50" w:after="50" w:line="360" w:lineRule="auto"/>
        <w:ind w:firstLine="480" w:firstLineChars="200"/>
        <w:jc w:val="both"/>
        <w:rPr>
          <w:rFonts w:hint="default"/>
          <w:sz w:val="24"/>
          <w:szCs w:val="24"/>
          <w:lang w:val="en-US" w:eastAsia="zh-CN"/>
        </w:rPr>
      </w:pPr>
      <w:r>
        <w:rPr>
          <w:rFonts w:hint="default"/>
          <w:sz w:val="24"/>
          <w:szCs w:val="24"/>
          <w:lang w:val="en-US" w:eastAsia="zh-CN"/>
        </w:rPr>
        <w:t>根据《破产法》</w:t>
      </w:r>
      <w:r>
        <w:rPr>
          <w:rFonts w:hint="eastAsia"/>
          <w:sz w:val="24"/>
          <w:szCs w:val="24"/>
          <w:lang w:val="en-US" w:eastAsia="zh-CN"/>
        </w:rPr>
        <w:t>相关规定</w:t>
      </w:r>
      <w:r>
        <w:rPr>
          <w:rFonts w:hint="default"/>
          <w:sz w:val="24"/>
          <w:szCs w:val="24"/>
          <w:lang w:val="en-US" w:eastAsia="zh-CN"/>
        </w:rPr>
        <w:t>，债务人不能清偿到期债务且资不抵债（或明显缺乏清偿能力），债务人或债权人可以向人民法院提出对债务人进行破产重整或者破产清算的申请。鉴于汇邦投资及五洲成大对中广核技存在应付债务，且该债务预计无法偿还，因此中广核技作为债权人</w:t>
      </w:r>
      <w:r>
        <w:rPr>
          <w:rFonts w:hint="eastAsia"/>
          <w:sz w:val="24"/>
          <w:szCs w:val="24"/>
          <w:lang w:val="en-US" w:eastAsia="zh-CN"/>
        </w:rPr>
        <w:t>或</w:t>
      </w:r>
      <w:r>
        <w:rPr>
          <w:rFonts w:hint="default"/>
          <w:sz w:val="24"/>
          <w:szCs w:val="24"/>
          <w:lang w:val="en-US" w:eastAsia="zh-CN"/>
        </w:rPr>
        <w:t>标的公司作为债务人有权向法院提出破产</w:t>
      </w:r>
      <w:r>
        <w:rPr>
          <w:rFonts w:hint="eastAsia"/>
          <w:sz w:val="24"/>
          <w:szCs w:val="24"/>
          <w:lang w:val="en-US" w:eastAsia="zh-CN"/>
        </w:rPr>
        <w:t>清算</w:t>
      </w:r>
      <w:r>
        <w:rPr>
          <w:rFonts w:hint="default"/>
          <w:sz w:val="24"/>
          <w:szCs w:val="24"/>
          <w:lang w:val="en-US" w:eastAsia="zh-CN"/>
        </w:rPr>
        <w:t>申请。</w:t>
      </w:r>
    </w:p>
    <w:p>
      <w:pPr>
        <w:widowControl w:val="0"/>
        <w:numPr>
          <w:ilvl w:val="0"/>
          <w:numId w:val="0"/>
        </w:numPr>
        <w:adjustRightInd w:val="0"/>
        <w:snapToGrid w:val="0"/>
        <w:spacing w:before="50" w:after="50" w:line="360" w:lineRule="auto"/>
        <w:ind w:firstLine="482" w:firstLineChars="200"/>
        <w:jc w:val="both"/>
        <w:rPr>
          <w:rFonts w:hint="default"/>
          <w:b/>
          <w:bCs/>
          <w:sz w:val="24"/>
          <w:szCs w:val="24"/>
          <w:lang w:val="en-US" w:eastAsia="zh-CN"/>
        </w:rPr>
      </w:pPr>
      <w:r>
        <w:rPr>
          <w:rFonts w:hint="eastAsia"/>
          <w:b/>
          <w:bCs/>
          <w:sz w:val="24"/>
          <w:szCs w:val="24"/>
          <w:lang w:val="en-US" w:eastAsia="zh-CN"/>
        </w:rPr>
        <w:t>四、本次破产对公司的影响</w:t>
      </w:r>
    </w:p>
    <w:p>
      <w:pPr>
        <w:widowControl w:val="0"/>
        <w:numPr>
          <w:ilvl w:val="0"/>
          <w:numId w:val="0"/>
        </w:numPr>
        <w:adjustRightInd w:val="0"/>
        <w:snapToGrid w:val="0"/>
        <w:spacing w:before="50" w:after="50" w:line="360" w:lineRule="auto"/>
        <w:ind w:firstLine="480" w:firstLineChars="200"/>
        <w:jc w:val="both"/>
        <w:rPr>
          <w:rFonts w:hint="default"/>
          <w:sz w:val="24"/>
          <w:szCs w:val="24"/>
          <w:lang w:val="en-US" w:eastAsia="zh-CN"/>
        </w:rPr>
      </w:pPr>
      <w:r>
        <w:rPr>
          <w:rFonts w:hint="default"/>
          <w:sz w:val="24"/>
          <w:szCs w:val="24"/>
          <w:lang w:val="en-US" w:eastAsia="zh-CN"/>
        </w:rPr>
        <w:t>汇邦投资近五年无房地产开发项目，五洲成大在建项目已停工，两家公司连续多年亏损，已资不抵债，其破产清算，有利于公司进一步聚焦核技术主业，不会影响公司现有主营业务的生产经营，不会对公司的持续经营造成影响。如法院裁定受理本次破产清算，并指定管理人接管汇邦投资、五洲成大后，公司将丧失对其控制权，汇邦投资、五洲成大将不再纳入公司合并财务报表范围。截至2023年6月30日，汇邦投资及其子公司应付中广核技内部往来款23,598.00万元，五洲成大及其子公司应付中广核技内部往来款20,693.00万元，6家公司合计应付中广核技内部往来款44,291.00万元。破产事项经法院受理并指定管理人后，预计通过破产清算程序后可获得的债权分配金额较低，破产清算子公司欠中广核技往来款按预期信用损失为基础将全额确认信用减值损失。以2022年12月31日账面净资产为可变现金额基础计算各公司处置损益，预计上述破产清算事项对归属于上市公司股东的净利润的影响约为-24</w:t>
      </w:r>
      <w:r>
        <w:rPr>
          <w:rFonts w:hint="eastAsia"/>
          <w:sz w:val="24"/>
          <w:szCs w:val="24"/>
          <w:lang w:val="en-US" w:eastAsia="zh-CN"/>
        </w:rPr>
        <w:t>,</w:t>
      </w:r>
      <w:r>
        <w:rPr>
          <w:rFonts w:hint="default"/>
          <w:sz w:val="24"/>
          <w:szCs w:val="24"/>
          <w:lang w:val="en-US" w:eastAsia="zh-CN"/>
        </w:rPr>
        <w:t>600.00万元。以上数据未经审计，本次破产清算对公司的最终影响金额以破产清算执行结果和年度会计师审计报告为准。</w:t>
      </w:r>
    </w:p>
    <w:p>
      <w:pPr>
        <w:widowControl w:val="0"/>
        <w:numPr>
          <w:ilvl w:val="0"/>
          <w:numId w:val="0"/>
        </w:numPr>
        <w:adjustRightInd w:val="0"/>
        <w:snapToGrid w:val="0"/>
        <w:spacing w:before="50" w:after="50" w:line="360" w:lineRule="auto"/>
        <w:ind w:firstLine="482" w:firstLineChars="200"/>
        <w:jc w:val="both"/>
        <w:rPr>
          <w:rFonts w:hint="default"/>
          <w:b/>
          <w:bCs/>
          <w:sz w:val="24"/>
          <w:szCs w:val="24"/>
          <w:lang w:val="en-US" w:eastAsia="zh-CN"/>
        </w:rPr>
      </w:pPr>
      <w:r>
        <w:rPr>
          <w:rFonts w:hint="eastAsia"/>
          <w:b/>
          <w:bCs/>
          <w:sz w:val="24"/>
          <w:szCs w:val="24"/>
          <w:lang w:val="en-US" w:eastAsia="zh-CN"/>
        </w:rPr>
        <w:t>五、其他说明</w:t>
      </w:r>
    </w:p>
    <w:p>
      <w:pPr>
        <w:widowControl w:val="0"/>
        <w:numPr>
          <w:ilvl w:val="0"/>
          <w:numId w:val="0"/>
        </w:numPr>
        <w:adjustRightInd w:val="0"/>
        <w:snapToGrid w:val="0"/>
        <w:spacing w:before="50" w:after="50" w:line="360" w:lineRule="auto"/>
        <w:ind w:firstLine="480" w:firstLineChars="200"/>
        <w:jc w:val="both"/>
        <w:rPr>
          <w:rFonts w:hint="default"/>
          <w:sz w:val="24"/>
          <w:szCs w:val="24"/>
          <w:lang w:val="en-US" w:eastAsia="zh-CN"/>
        </w:rPr>
      </w:pPr>
      <w:r>
        <w:rPr>
          <w:rFonts w:hint="eastAsia"/>
          <w:sz w:val="24"/>
          <w:szCs w:val="24"/>
          <w:lang w:val="en-US" w:eastAsia="zh-CN"/>
        </w:rPr>
        <w:t>中广核技作为债权人或汇邦投资、五洲成大作为债务人</w:t>
      </w:r>
      <w:r>
        <w:rPr>
          <w:rFonts w:hint="default"/>
          <w:sz w:val="24"/>
          <w:szCs w:val="24"/>
          <w:lang w:val="en-US" w:eastAsia="zh-CN"/>
        </w:rPr>
        <w:t>向法院申请破产清算，法院是否受理，最终裁决结果均存在不确定性。</w:t>
      </w:r>
      <w:r>
        <w:rPr>
          <w:rFonts w:hint="eastAsia"/>
          <w:sz w:val="24"/>
          <w:szCs w:val="24"/>
          <w:lang w:val="en-US" w:eastAsia="zh-CN"/>
        </w:rPr>
        <w:t>破产清算程序复杂，流程较长，</w:t>
      </w:r>
      <w:r>
        <w:rPr>
          <w:rFonts w:hint="default"/>
          <w:sz w:val="24"/>
          <w:szCs w:val="24"/>
          <w:lang w:val="en-US" w:eastAsia="zh-CN"/>
        </w:rPr>
        <w:t>公司将积极维护公司及公司全体股东的合法权益，并根据破产清算事项的进展及时履行信息披露义务，敬请广大投资者关注后续公告并注意投资风险。</w:t>
      </w:r>
    </w:p>
    <w:p>
      <w:pPr>
        <w:snapToGrid w:val="0"/>
        <w:spacing w:line="360" w:lineRule="auto"/>
        <w:ind w:firstLine="480" w:firstLineChars="200"/>
        <w:rPr>
          <w:sz w:val="24"/>
          <w:szCs w:val="24"/>
        </w:rPr>
      </w:pPr>
      <w:r>
        <w:rPr>
          <w:sz w:val="24"/>
          <w:szCs w:val="24"/>
        </w:rPr>
        <w:t>特此公告。</w:t>
      </w:r>
    </w:p>
    <w:p>
      <w:pPr>
        <w:snapToGrid w:val="0"/>
        <w:spacing w:line="360" w:lineRule="auto"/>
        <w:ind w:firstLine="482" w:firstLineChars="200"/>
        <w:jc w:val="right"/>
        <w:rPr>
          <w:b/>
          <w:sz w:val="24"/>
          <w:szCs w:val="24"/>
        </w:rPr>
      </w:pPr>
      <w:r>
        <w:rPr>
          <w:b/>
          <w:sz w:val="24"/>
          <w:szCs w:val="24"/>
        </w:rPr>
        <w:t>中广核核技术发展股份有限公司</w:t>
      </w:r>
    </w:p>
    <w:p>
      <w:pPr>
        <w:snapToGrid w:val="0"/>
        <w:spacing w:line="360" w:lineRule="auto"/>
        <w:ind w:firstLine="482" w:firstLineChars="200"/>
        <w:jc w:val="right"/>
        <w:rPr>
          <w:b/>
          <w:sz w:val="24"/>
          <w:szCs w:val="24"/>
        </w:rPr>
      </w:pPr>
      <w:r>
        <w:rPr>
          <w:b/>
          <w:sz w:val="24"/>
          <w:szCs w:val="24"/>
        </w:rPr>
        <w:t>董事会</w:t>
      </w:r>
    </w:p>
    <w:p>
      <w:pPr>
        <w:snapToGrid w:val="0"/>
        <w:spacing w:line="360" w:lineRule="auto"/>
        <w:ind w:firstLine="482" w:firstLineChars="200"/>
        <w:jc w:val="right"/>
        <w:rPr>
          <w:rFonts w:hint="eastAsia"/>
          <w:b/>
          <w:color w:val="auto"/>
          <w:sz w:val="24"/>
          <w:szCs w:val="24"/>
        </w:rPr>
      </w:pPr>
      <w:r>
        <w:rPr>
          <w:b/>
          <w:color w:val="auto"/>
          <w:sz w:val="24"/>
          <w:szCs w:val="24"/>
        </w:rPr>
        <w:t>202</w:t>
      </w:r>
      <w:r>
        <w:rPr>
          <w:rFonts w:hint="eastAsia"/>
          <w:b/>
          <w:color w:val="auto"/>
          <w:sz w:val="24"/>
          <w:szCs w:val="24"/>
        </w:rPr>
        <w:t>3</w:t>
      </w:r>
      <w:r>
        <w:rPr>
          <w:b/>
          <w:color w:val="auto"/>
          <w:sz w:val="24"/>
          <w:szCs w:val="24"/>
        </w:rPr>
        <w:t>年</w:t>
      </w:r>
      <w:r>
        <w:rPr>
          <w:rFonts w:hint="eastAsia"/>
          <w:b/>
          <w:color w:val="auto"/>
          <w:sz w:val="24"/>
          <w:szCs w:val="24"/>
          <w:lang w:val="en-US" w:eastAsia="zh-CN"/>
        </w:rPr>
        <w:t>9</w:t>
      </w:r>
      <w:r>
        <w:rPr>
          <w:b/>
          <w:color w:val="auto"/>
          <w:sz w:val="24"/>
          <w:szCs w:val="24"/>
        </w:rPr>
        <w:t>月</w:t>
      </w:r>
      <w:r>
        <w:rPr>
          <w:rFonts w:hint="eastAsia"/>
          <w:b/>
          <w:color w:val="auto"/>
          <w:sz w:val="24"/>
          <w:szCs w:val="24"/>
          <w:lang w:val="en-US" w:eastAsia="zh-CN"/>
        </w:rPr>
        <w:t>28</w:t>
      </w:r>
      <w:bookmarkStart w:id="0" w:name="_GoBack"/>
      <w:bookmarkEnd w:id="0"/>
      <w:r>
        <w:rPr>
          <w:b/>
          <w:color w:val="auto"/>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3A15A7"/>
    <w:multiLevelType w:val="singleLevel"/>
    <w:tmpl w:val="123A15A7"/>
    <w:lvl w:ilvl="0" w:tentative="0">
      <w:start w:val="2"/>
      <w:numFmt w:val="decimal"/>
      <w:suff w:val="nothing"/>
      <w:lvlText w:val="%1、"/>
      <w:lvlJc w:val="left"/>
    </w:lvl>
  </w:abstractNum>
  <w:abstractNum w:abstractNumId="1">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B07E69"/>
    <w:rsid w:val="000018E4"/>
    <w:rsid w:val="00001B05"/>
    <w:rsid w:val="00001CCA"/>
    <w:rsid w:val="00001F37"/>
    <w:rsid w:val="00003433"/>
    <w:rsid w:val="0000729F"/>
    <w:rsid w:val="00013BAD"/>
    <w:rsid w:val="00013DE7"/>
    <w:rsid w:val="0001484C"/>
    <w:rsid w:val="00020AC4"/>
    <w:rsid w:val="000222C4"/>
    <w:rsid w:val="00024767"/>
    <w:rsid w:val="000252E3"/>
    <w:rsid w:val="00027656"/>
    <w:rsid w:val="000315F7"/>
    <w:rsid w:val="00032084"/>
    <w:rsid w:val="00035F47"/>
    <w:rsid w:val="000364D6"/>
    <w:rsid w:val="000405F2"/>
    <w:rsid w:val="00040745"/>
    <w:rsid w:val="00040E2A"/>
    <w:rsid w:val="000412A4"/>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90342"/>
    <w:rsid w:val="00093C0D"/>
    <w:rsid w:val="000A02FE"/>
    <w:rsid w:val="000A68BD"/>
    <w:rsid w:val="000B0888"/>
    <w:rsid w:val="000B1D4C"/>
    <w:rsid w:val="000B22DD"/>
    <w:rsid w:val="000B3357"/>
    <w:rsid w:val="000B3495"/>
    <w:rsid w:val="000C0E38"/>
    <w:rsid w:val="000C0FE7"/>
    <w:rsid w:val="000C398E"/>
    <w:rsid w:val="000C50D1"/>
    <w:rsid w:val="000C5E04"/>
    <w:rsid w:val="000C71E5"/>
    <w:rsid w:val="000D1032"/>
    <w:rsid w:val="000D2D28"/>
    <w:rsid w:val="000D3D05"/>
    <w:rsid w:val="000D6F96"/>
    <w:rsid w:val="000D7118"/>
    <w:rsid w:val="000E03B2"/>
    <w:rsid w:val="000E4970"/>
    <w:rsid w:val="000E4DC9"/>
    <w:rsid w:val="000E4FF5"/>
    <w:rsid w:val="000E6CD7"/>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149D3"/>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4E35"/>
    <w:rsid w:val="00175408"/>
    <w:rsid w:val="001758B5"/>
    <w:rsid w:val="00175CBF"/>
    <w:rsid w:val="001779E1"/>
    <w:rsid w:val="0018038D"/>
    <w:rsid w:val="00180636"/>
    <w:rsid w:val="00182210"/>
    <w:rsid w:val="0018364A"/>
    <w:rsid w:val="00184563"/>
    <w:rsid w:val="001851C6"/>
    <w:rsid w:val="00186CD1"/>
    <w:rsid w:val="00190AA3"/>
    <w:rsid w:val="0019389A"/>
    <w:rsid w:val="00193EE4"/>
    <w:rsid w:val="0019426B"/>
    <w:rsid w:val="001943AE"/>
    <w:rsid w:val="00196DD8"/>
    <w:rsid w:val="001A077E"/>
    <w:rsid w:val="001A0C62"/>
    <w:rsid w:val="001A198A"/>
    <w:rsid w:val="001A26DE"/>
    <w:rsid w:val="001A27C9"/>
    <w:rsid w:val="001A3E5F"/>
    <w:rsid w:val="001A6CF4"/>
    <w:rsid w:val="001A6DBB"/>
    <w:rsid w:val="001A726D"/>
    <w:rsid w:val="001A75E0"/>
    <w:rsid w:val="001B1368"/>
    <w:rsid w:val="001B46CC"/>
    <w:rsid w:val="001B71DD"/>
    <w:rsid w:val="001C1F46"/>
    <w:rsid w:val="001C3BDD"/>
    <w:rsid w:val="001C55C8"/>
    <w:rsid w:val="001D1554"/>
    <w:rsid w:val="001D1FD2"/>
    <w:rsid w:val="001D27C2"/>
    <w:rsid w:val="001D4F4C"/>
    <w:rsid w:val="001D7325"/>
    <w:rsid w:val="001E504C"/>
    <w:rsid w:val="001E5811"/>
    <w:rsid w:val="001E5A48"/>
    <w:rsid w:val="001F1297"/>
    <w:rsid w:val="001F5845"/>
    <w:rsid w:val="001F6AA1"/>
    <w:rsid w:val="001F7A38"/>
    <w:rsid w:val="00200618"/>
    <w:rsid w:val="00203CC6"/>
    <w:rsid w:val="002042D4"/>
    <w:rsid w:val="002046EF"/>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5974"/>
    <w:rsid w:val="0024605D"/>
    <w:rsid w:val="002462C7"/>
    <w:rsid w:val="00253C07"/>
    <w:rsid w:val="00253EB5"/>
    <w:rsid w:val="002541F8"/>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131D"/>
    <w:rsid w:val="00292622"/>
    <w:rsid w:val="00292860"/>
    <w:rsid w:val="00294C3D"/>
    <w:rsid w:val="00295EA0"/>
    <w:rsid w:val="00296EE8"/>
    <w:rsid w:val="002A4FCB"/>
    <w:rsid w:val="002A54F9"/>
    <w:rsid w:val="002A5C87"/>
    <w:rsid w:val="002B03AF"/>
    <w:rsid w:val="002B22B3"/>
    <w:rsid w:val="002C4293"/>
    <w:rsid w:val="002D21A8"/>
    <w:rsid w:val="002D3152"/>
    <w:rsid w:val="002D4AB5"/>
    <w:rsid w:val="002D746D"/>
    <w:rsid w:val="002D7DFE"/>
    <w:rsid w:val="002E024D"/>
    <w:rsid w:val="002E03A2"/>
    <w:rsid w:val="002E0FED"/>
    <w:rsid w:val="002E3DE1"/>
    <w:rsid w:val="002E7010"/>
    <w:rsid w:val="002E7E85"/>
    <w:rsid w:val="002E7F16"/>
    <w:rsid w:val="002F0134"/>
    <w:rsid w:val="002F15EF"/>
    <w:rsid w:val="002F6A0E"/>
    <w:rsid w:val="0030127F"/>
    <w:rsid w:val="0030260F"/>
    <w:rsid w:val="00302905"/>
    <w:rsid w:val="003035D6"/>
    <w:rsid w:val="003043E1"/>
    <w:rsid w:val="003062F8"/>
    <w:rsid w:val="003063A6"/>
    <w:rsid w:val="00310B85"/>
    <w:rsid w:val="00310EFD"/>
    <w:rsid w:val="0031131E"/>
    <w:rsid w:val="003134E1"/>
    <w:rsid w:val="00315795"/>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CC9"/>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3B3C"/>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2ED1"/>
    <w:rsid w:val="00403BC7"/>
    <w:rsid w:val="0040407C"/>
    <w:rsid w:val="004054C4"/>
    <w:rsid w:val="00405A64"/>
    <w:rsid w:val="0040741F"/>
    <w:rsid w:val="004100A0"/>
    <w:rsid w:val="00410D4C"/>
    <w:rsid w:val="00412C83"/>
    <w:rsid w:val="00413853"/>
    <w:rsid w:val="00414DAF"/>
    <w:rsid w:val="00415A70"/>
    <w:rsid w:val="0041664F"/>
    <w:rsid w:val="00416DB9"/>
    <w:rsid w:val="00417251"/>
    <w:rsid w:val="0041747D"/>
    <w:rsid w:val="00420C33"/>
    <w:rsid w:val="00422294"/>
    <w:rsid w:val="00425D5C"/>
    <w:rsid w:val="0043136C"/>
    <w:rsid w:val="00431A2F"/>
    <w:rsid w:val="004326D7"/>
    <w:rsid w:val="00433A97"/>
    <w:rsid w:val="004377D7"/>
    <w:rsid w:val="004403AB"/>
    <w:rsid w:val="0044582E"/>
    <w:rsid w:val="00445D18"/>
    <w:rsid w:val="00447146"/>
    <w:rsid w:val="00450BD2"/>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B64"/>
    <w:rsid w:val="004833D2"/>
    <w:rsid w:val="0048507C"/>
    <w:rsid w:val="00486D35"/>
    <w:rsid w:val="004908EC"/>
    <w:rsid w:val="0049198B"/>
    <w:rsid w:val="00492587"/>
    <w:rsid w:val="00493E25"/>
    <w:rsid w:val="00493EF0"/>
    <w:rsid w:val="00495998"/>
    <w:rsid w:val="00497F57"/>
    <w:rsid w:val="004A1ADC"/>
    <w:rsid w:val="004A2D8A"/>
    <w:rsid w:val="004B1E0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6B7E"/>
    <w:rsid w:val="00637763"/>
    <w:rsid w:val="00642525"/>
    <w:rsid w:val="006501FD"/>
    <w:rsid w:val="0065064E"/>
    <w:rsid w:val="00651CA5"/>
    <w:rsid w:val="00652542"/>
    <w:rsid w:val="00652600"/>
    <w:rsid w:val="00652C81"/>
    <w:rsid w:val="00657A1A"/>
    <w:rsid w:val="00661874"/>
    <w:rsid w:val="00662635"/>
    <w:rsid w:val="006634C7"/>
    <w:rsid w:val="00665B53"/>
    <w:rsid w:val="006708BA"/>
    <w:rsid w:val="00670B7D"/>
    <w:rsid w:val="00671D3A"/>
    <w:rsid w:val="00671D3E"/>
    <w:rsid w:val="0067673B"/>
    <w:rsid w:val="00680400"/>
    <w:rsid w:val="00680C95"/>
    <w:rsid w:val="00683E22"/>
    <w:rsid w:val="006857C3"/>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E093A"/>
    <w:rsid w:val="006E22F6"/>
    <w:rsid w:val="006E2BE6"/>
    <w:rsid w:val="006E2EAB"/>
    <w:rsid w:val="006E4F70"/>
    <w:rsid w:val="006E526A"/>
    <w:rsid w:val="006F08C6"/>
    <w:rsid w:val="006F2783"/>
    <w:rsid w:val="006F2CE6"/>
    <w:rsid w:val="006F4151"/>
    <w:rsid w:val="006F4AAE"/>
    <w:rsid w:val="006F5D6A"/>
    <w:rsid w:val="006F6E1C"/>
    <w:rsid w:val="006F715E"/>
    <w:rsid w:val="007005CA"/>
    <w:rsid w:val="00700761"/>
    <w:rsid w:val="00702852"/>
    <w:rsid w:val="00702A98"/>
    <w:rsid w:val="00702BA9"/>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467B"/>
    <w:rsid w:val="00744E34"/>
    <w:rsid w:val="00747593"/>
    <w:rsid w:val="00751696"/>
    <w:rsid w:val="00753911"/>
    <w:rsid w:val="00753AD4"/>
    <w:rsid w:val="007545CE"/>
    <w:rsid w:val="0075504F"/>
    <w:rsid w:val="007627B2"/>
    <w:rsid w:val="00770B79"/>
    <w:rsid w:val="007740D4"/>
    <w:rsid w:val="00775D17"/>
    <w:rsid w:val="00777B97"/>
    <w:rsid w:val="007802AE"/>
    <w:rsid w:val="007823C8"/>
    <w:rsid w:val="007838FB"/>
    <w:rsid w:val="007862F9"/>
    <w:rsid w:val="00786747"/>
    <w:rsid w:val="00786927"/>
    <w:rsid w:val="007879BB"/>
    <w:rsid w:val="00793EB9"/>
    <w:rsid w:val="00797A7D"/>
    <w:rsid w:val="007A198A"/>
    <w:rsid w:val="007A2A9E"/>
    <w:rsid w:val="007A577B"/>
    <w:rsid w:val="007A62DB"/>
    <w:rsid w:val="007A6C3C"/>
    <w:rsid w:val="007A6E3D"/>
    <w:rsid w:val="007A7F89"/>
    <w:rsid w:val="007B007C"/>
    <w:rsid w:val="007B2111"/>
    <w:rsid w:val="007B3B6A"/>
    <w:rsid w:val="007B69F4"/>
    <w:rsid w:val="007B7C4C"/>
    <w:rsid w:val="007C261C"/>
    <w:rsid w:val="007C3C54"/>
    <w:rsid w:val="007C74BE"/>
    <w:rsid w:val="007D02E0"/>
    <w:rsid w:val="007D77E3"/>
    <w:rsid w:val="007E1D0E"/>
    <w:rsid w:val="007E5775"/>
    <w:rsid w:val="007E652F"/>
    <w:rsid w:val="007F3469"/>
    <w:rsid w:val="00800509"/>
    <w:rsid w:val="00800FCA"/>
    <w:rsid w:val="00802140"/>
    <w:rsid w:val="008021AC"/>
    <w:rsid w:val="008069B6"/>
    <w:rsid w:val="00806EB4"/>
    <w:rsid w:val="00807400"/>
    <w:rsid w:val="0081143F"/>
    <w:rsid w:val="00811612"/>
    <w:rsid w:val="00812E89"/>
    <w:rsid w:val="00814C84"/>
    <w:rsid w:val="00815DA7"/>
    <w:rsid w:val="00821CF8"/>
    <w:rsid w:val="00821E29"/>
    <w:rsid w:val="00823195"/>
    <w:rsid w:val="00827788"/>
    <w:rsid w:val="0083025F"/>
    <w:rsid w:val="00830A44"/>
    <w:rsid w:val="00832537"/>
    <w:rsid w:val="00833A64"/>
    <w:rsid w:val="00836155"/>
    <w:rsid w:val="00836D6C"/>
    <w:rsid w:val="00836F29"/>
    <w:rsid w:val="00842435"/>
    <w:rsid w:val="008444D6"/>
    <w:rsid w:val="00847E3F"/>
    <w:rsid w:val="008516BC"/>
    <w:rsid w:val="0085282A"/>
    <w:rsid w:val="00853519"/>
    <w:rsid w:val="00853E68"/>
    <w:rsid w:val="00861739"/>
    <w:rsid w:val="008629B0"/>
    <w:rsid w:val="0086311A"/>
    <w:rsid w:val="008638FE"/>
    <w:rsid w:val="00864765"/>
    <w:rsid w:val="008648F7"/>
    <w:rsid w:val="008652D5"/>
    <w:rsid w:val="00867CD3"/>
    <w:rsid w:val="008710B6"/>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21"/>
    <w:rsid w:val="00895CD4"/>
    <w:rsid w:val="00896298"/>
    <w:rsid w:val="00896432"/>
    <w:rsid w:val="00896471"/>
    <w:rsid w:val="00896A4D"/>
    <w:rsid w:val="00897DC3"/>
    <w:rsid w:val="008A058C"/>
    <w:rsid w:val="008A074F"/>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888"/>
    <w:rsid w:val="00914BC1"/>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00B"/>
    <w:rsid w:val="0096261D"/>
    <w:rsid w:val="009644C0"/>
    <w:rsid w:val="00964D31"/>
    <w:rsid w:val="009657AE"/>
    <w:rsid w:val="009667F1"/>
    <w:rsid w:val="00966E8A"/>
    <w:rsid w:val="009677BC"/>
    <w:rsid w:val="00967A76"/>
    <w:rsid w:val="00972012"/>
    <w:rsid w:val="0097255F"/>
    <w:rsid w:val="00973282"/>
    <w:rsid w:val="00973EA7"/>
    <w:rsid w:val="00974E3F"/>
    <w:rsid w:val="009765BD"/>
    <w:rsid w:val="00976CE0"/>
    <w:rsid w:val="00977388"/>
    <w:rsid w:val="00977493"/>
    <w:rsid w:val="00981E18"/>
    <w:rsid w:val="009842E9"/>
    <w:rsid w:val="00985599"/>
    <w:rsid w:val="009913E7"/>
    <w:rsid w:val="009919D7"/>
    <w:rsid w:val="00992E33"/>
    <w:rsid w:val="009930C3"/>
    <w:rsid w:val="0099415E"/>
    <w:rsid w:val="00995B71"/>
    <w:rsid w:val="0099629A"/>
    <w:rsid w:val="009A00C4"/>
    <w:rsid w:val="009A137D"/>
    <w:rsid w:val="009A2381"/>
    <w:rsid w:val="009A364A"/>
    <w:rsid w:val="009A38E7"/>
    <w:rsid w:val="009B01FB"/>
    <w:rsid w:val="009B2245"/>
    <w:rsid w:val="009B28D6"/>
    <w:rsid w:val="009C1FB9"/>
    <w:rsid w:val="009C4852"/>
    <w:rsid w:val="009C67C6"/>
    <w:rsid w:val="009C7C55"/>
    <w:rsid w:val="009D090D"/>
    <w:rsid w:val="009D159C"/>
    <w:rsid w:val="009D240B"/>
    <w:rsid w:val="009D2418"/>
    <w:rsid w:val="009D31B1"/>
    <w:rsid w:val="009D45A0"/>
    <w:rsid w:val="009D5DDD"/>
    <w:rsid w:val="009E0850"/>
    <w:rsid w:val="009E3356"/>
    <w:rsid w:val="009E625E"/>
    <w:rsid w:val="009E6673"/>
    <w:rsid w:val="009F02B0"/>
    <w:rsid w:val="009F060F"/>
    <w:rsid w:val="009F2C28"/>
    <w:rsid w:val="009F6740"/>
    <w:rsid w:val="00A016A1"/>
    <w:rsid w:val="00A02D71"/>
    <w:rsid w:val="00A033D1"/>
    <w:rsid w:val="00A039F9"/>
    <w:rsid w:val="00A03A10"/>
    <w:rsid w:val="00A03ECA"/>
    <w:rsid w:val="00A0494E"/>
    <w:rsid w:val="00A0661E"/>
    <w:rsid w:val="00A1029E"/>
    <w:rsid w:val="00A102BA"/>
    <w:rsid w:val="00A15450"/>
    <w:rsid w:val="00A16F14"/>
    <w:rsid w:val="00A2029D"/>
    <w:rsid w:val="00A207C9"/>
    <w:rsid w:val="00A26FA9"/>
    <w:rsid w:val="00A307CB"/>
    <w:rsid w:val="00A37EF4"/>
    <w:rsid w:val="00A4177A"/>
    <w:rsid w:val="00A42BCF"/>
    <w:rsid w:val="00A43E47"/>
    <w:rsid w:val="00A4747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521"/>
    <w:rsid w:val="00A86B40"/>
    <w:rsid w:val="00A902B4"/>
    <w:rsid w:val="00A90B03"/>
    <w:rsid w:val="00A91721"/>
    <w:rsid w:val="00A91E0E"/>
    <w:rsid w:val="00A9289B"/>
    <w:rsid w:val="00A93B8B"/>
    <w:rsid w:val="00A94329"/>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60FC"/>
    <w:rsid w:val="00AC694B"/>
    <w:rsid w:val="00AC69C1"/>
    <w:rsid w:val="00AC7FF2"/>
    <w:rsid w:val="00AD194D"/>
    <w:rsid w:val="00AD27D3"/>
    <w:rsid w:val="00AD52C2"/>
    <w:rsid w:val="00AD653F"/>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5597"/>
    <w:rsid w:val="00B05697"/>
    <w:rsid w:val="00B06853"/>
    <w:rsid w:val="00B07E69"/>
    <w:rsid w:val="00B1351B"/>
    <w:rsid w:val="00B16731"/>
    <w:rsid w:val="00B17EC9"/>
    <w:rsid w:val="00B17F12"/>
    <w:rsid w:val="00B21053"/>
    <w:rsid w:val="00B215E0"/>
    <w:rsid w:val="00B22A2E"/>
    <w:rsid w:val="00B22F30"/>
    <w:rsid w:val="00B233D6"/>
    <w:rsid w:val="00B275FD"/>
    <w:rsid w:val="00B3050E"/>
    <w:rsid w:val="00B31606"/>
    <w:rsid w:val="00B31A31"/>
    <w:rsid w:val="00B34661"/>
    <w:rsid w:val="00B36586"/>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0C29"/>
    <w:rsid w:val="00BA1B40"/>
    <w:rsid w:val="00BA3B05"/>
    <w:rsid w:val="00BA6BEE"/>
    <w:rsid w:val="00BA738D"/>
    <w:rsid w:val="00BA7D20"/>
    <w:rsid w:val="00BB0F60"/>
    <w:rsid w:val="00BB3101"/>
    <w:rsid w:val="00BB53E8"/>
    <w:rsid w:val="00BC0CF0"/>
    <w:rsid w:val="00BC5A27"/>
    <w:rsid w:val="00BC6AFB"/>
    <w:rsid w:val="00BC6B81"/>
    <w:rsid w:val="00BC7D37"/>
    <w:rsid w:val="00BD2F75"/>
    <w:rsid w:val="00BD4405"/>
    <w:rsid w:val="00BD6A90"/>
    <w:rsid w:val="00BE000D"/>
    <w:rsid w:val="00BE08EB"/>
    <w:rsid w:val="00BE1D85"/>
    <w:rsid w:val="00BE2148"/>
    <w:rsid w:val="00BE2CA6"/>
    <w:rsid w:val="00BE32A1"/>
    <w:rsid w:val="00BE3449"/>
    <w:rsid w:val="00BE4D04"/>
    <w:rsid w:val="00BE5EF9"/>
    <w:rsid w:val="00BF1459"/>
    <w:rsid w:val="00BF5D9F"/>
    <w:rsid w:val="00C026E9"/>
    <w:rsid w:val="00C03D29"/>
    <w:rsid w:val="00C05278"/>
    <w:rsid w:val="00C05E26"/>
    <w:rsid w:val="00C071D0"/>
    <w:rsid w:val="00C074E2"/>
    <w:rsid w:val="00C07A47"/>
    <w:rsid w:val="00C07C15"/>
    <w:rsid w:val="00C11A2F"/>
    <w:rsid w:val="00C11C26"/>
    <w:rsid w:val="00C132E1"/>
    <w:rsid w:val="00C132F6"/>
    <w:rsid w:val="00C14B50"/>
    <w:rsid w:val="00C15330"/>
    <w:rsid w:val="00C16C41"/>
    <w:rsid w:val="00C267F1"/>
    <w:rsid w:val="00C26D3E"/>
    <w:rsid w:val="00C30821"/>
    <w:rsid w:val="00C3266C"/>
    <w:rsid w:val="00C327DF"/>
    <w:rsid w:val="00C32F40"/>
    <w:rsid w:val="00C333A4"/>
    <w:rsid w:val="00C36E6D"/>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F6D"/>
    <w:rsid w:val="00CA01DF"/>
    <w:rsid w:val="00CA2D30"/>
    <w:rsid w:val="00CA42A1"/>
    <w:rsid w:val="00CA6F65"/>
    <w:rsid w:val="00CA7442"/>
    <w:rsid w:val="00CA7DE0"/>
    <w:rsid w:val="00CB1465"/>
    <w:rsid w:val="00CB56C9"/>
    <w:rsid w:val="00CC0C7D"/>
    <w:rsid w:val="00CC18BB"/>
    <w:rsid w:val="00CC1C44"/>
    <w:rsid w:val="00CC44A7"/>
    <w:rsid w:val="00CC4D5A"/>
    <w:rsid w:val="00CC52F6"/>
    <w:rsid w:val="00CC5726"/>
    <w:rsid w:val="00CD0988"/>
    <w:rsid w:val="00CD0BA3"/>
    <w:rsid w:val="00CD523F"/>
    <w:rsid w:val="00CD5927"/>
    <w:rsid w:val="00CD6F6C"/>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1BCC"/>
    <w:rsid w:val="00D723A3"/>
    <w:rsid w:val="00D72A92"/>
    <w:rsid w:val="00D73ECE"/>
    <w:rsid w:val="00D74113"/>
    <w:rsid w:val="00D74227"/>
    <w:rsid w:val="00D75561"/>
    <w:rsid w:val="00D755EE"/>
    <w:rsid w:val="00D80D69"/>
    <w:rsid w:val="00D81151"/>
    <w:rsid w:val="00D833AF"/>
    <w:rsid w:val="00D83793"/>
    <w:rsid w:val="00D83E45"/>
    <w:rsid w:val="00D86C17"/>
    <w:rsid w:val="00D90058"/>
    <w:rsid w:val="00D9033D"/>
    <w:rsid w:val="00D90607"/>
    <w:rsid w:val="00D9131A"/>
    <w:rsid w:val="00D9459A"/>
    <w:rsid w:val="00D96670"/>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D7933"/>
    <w:rsid w:val="00DE3B5E"/>
    <w:rsid w:val="00DE3E3A"/>
    <w:rsid w:val="00DE59A5"/>
    <w:rsid w:val="00DF0285"/>
    <w:rsid w:val="00DF02B4"/>
    <w:rsid w:val="00DF0F4A"/>
    <w:rsid w:val="00DF21D0"/>
    <w:rsid w:val="00DF30F3"/>
    <w:rsid w:val="00DF3ABC"/>
    <w:rsid w:val="00DF41B1"/>
    <w:rsid w:val="00DF5449"/>
    <w:rsid w:val="00E018DD"/>
    <w:rsid w:val="00E023D0"/>
    <w:rsid w:val="00E02D95"/>
    <w:rsid w:val="00E04C0A"/>
    <w:rsid w:val="00E054BB"/>
    <w:rsid w:val="00E057DD"/>
    <w:rsid w:val="00E06BCD"/>
    <w:rsid w:val="00E06D28"/>
    <w:rsid w:val="00E1043F"/>
    <w:rsid w:val="00E14478"/>
    <w:rsid w:val="00E14F25"/>
    <w:rsid w:val="00E162E1"/>
    <w:rsid w:val="00E178AD"/>
    <w:rsid w:val="00E211A3"/>
    <w:rsid w:val="00E21416"/>
    <w:rsid w:val="00E224F7"/>
    <w:rsid w:val="00E226A8"/>
    <w:rsid w:val="00E22AF7"/>
    <w:rsid w:val="00E249DD"/>
    <w:rsid w:val="00E25C22"/>
    <w:rsid w:val="00E266ED"/>
    <w:rsid w:val="00E34D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918E4"/>
    <w:rsid w:val="00EA08F0"/>
    <w:rsid w:val="00EA3769"/>
    <w:rsid w:val="00EA43AF"/>
    <w:rsid w:val="00EA4F01"/>
    <w:rsid w:val="00EA6C2C"/>
    <w:rsid w:val="00EA7BFB"/>
    <w:rsid w:val="00EB24D4"/>
    <w:rsid w:val="00EB2B0E"/>
    <w:rsid w:val="00EB3012"/>
    <w:rsid w:val="00EB31CF"/>
    <w:rsid w:val="00EB3FC3"/>
    <w:rsid w:val="00EB4548"/>
    <w:rsid w:val="00EB5201"/>
    <w:rsid w:val="00EB5CE1"/>
    <w:rsid w:val="00EB7C6A"/>
    <w:rsid w:val="00EC0CF1"/>
    <w:rsid w:val="00EC16CD"/>
    <w:rsid w:val="00EC1A48"/>
    <w:rsid w:val="00EC1D55"/>
    <w:rsid w:val="00EC59A6"/>
    <w:rsid w:val="00EC6033"/>
    <w:rsid w:val="00ED1401"/>
    <w:rsid w:val="00ED22D3"/>
    <w:rsid w:val="00ED2413"/>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757A"/>
    <w:rsid w:val="00F0759D"/>
    <w:rsid w:val="00F0759E"/>
    <w:rsid w:val="00F104F7"/>
    <w:rsid w:val="00F14C0F"/>
    <w:rsid w:val="00F14FE2"/>
    <w:rsid w:val="00F1740D"/>
    <w:rsid w:val="00F207F8"/>
    <w:rsid w:val="00F21109"/>
    <w:rsid w:val="00F232D0"/>
    <w:rsid w:val="00F25B68"/>
    <w:rsid w:val="00F2695D"/>
    <w:rsid w:val="00F31FC5"/>
    <w:rsid w:val="00F3297D"/>
    <w:rsid w:val="00F334C8"/>
    <w:rsid w:val="00F340AF"/>
    <w:rsid w:val="00F35E1F"/>
    <w:rsid w:val="00F362E9"/>
    <w:rsid w:val="00F37689"/>
    <w:rsid w:val="00F37ED1"/>
    <w:rsid w:val="00F400E7"/>
    <w:rsid w:val="00F41A6D"/>
    <w:rsid w:val="00F41F46"/>
    <w:rsid w:val="00F42BE4"/>
    <w:rsid w:val="00F432E6"/>
    <w:rsid w:val="00F43A5C"/>
    <w:rsid w:val="00F465BC"/>
    <w:rsid w:val="00F46847"/>
    <w:rsid w:val="00F54F5F"/>
    <w:rsid w:val="00F55223"/>
    <w:rsid w:val="00F56A85"/>
    <w:rsid w:val="00F57D6D"/>
    <w:rsid w:val="00F60002"/>
    <w:rsid w:val="00F604D7"/>
    <w:rsid w:val="00F615F6"/>
    <w:rsid w:val="00F64B14"/>
    <w:rsid w:val="00F67C52"/>
    <w:rsid w:val="00F7043F"/>
    <w:rsid w:val="00F7106F"/>
    <w:rsid w:val="00F7625D"/>
    <w:rsid w:val="00F77B7C"/>
    <w:rsid w:val="00F80155"/>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3328"/>
    <w:rsid w:val="00FB4A7F"/>
    <w:rsid w:val="00FB56EA"/>
    <w:rsid w:val="00FB6127"/>
    <w:rsid w:val="00FB6ABE"/>
    <w:rsid w:val="00FB7655"/>
    <w:rsid w:val="00FB77CE"/>
    <w:rsid w:val="00FB7925"/>
    <w:rsid w:val="00FC3C2B"/>
    <w:rsid w:val="00FC5B0F"/>
    <w:rsid w:val="00FD0269"/>
    <w:rsid w:val="00FD0CE3"/>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15468"/>
    <w:rsid w:val="01176CEA"/>
    <w:rsid w:val="013A2911"/>
    <w:rsid w:val="018D2CDE"/>
    <w:rsid w:val="02237153"/>
    <w:rsid w:val="02435EE5"/>
    <w:rsid w:val="025856DB"/>
    <w:rsid w:val="028D37FB"/>
    <w:rsid w:val="02DD2615"/>
    <w:rsid w:val="03005F32"/>
    <w:rsid w:val="030D40D0"/>
    <w:rsid w:val="031E7295"/>
    <w:rsid w:val="03343341"/>
    <w:rsid w:val="03466915"/>
    <w:rsid w:val="03654AD1"/>
    <w:rsid w:val="03AD4A6D"/>
    <w:rsid w:val="03D00DC0"/>
    <w:rsid w:val="04220EB1"/>
    <w:rsid w:val="04226A84"/>
    <w:rsid w:val="04371027"/>
    <w:rsid w:val="04A3318B"/>
    <w:rsid w:val="04C64E02"/>
    <w:rsid w:val="0503641B"/>
    <w:rsid w:val="056104BC"/>
    <w:rsid w:val="05B040F9"/>
    <w:rsid w:val="05B9404A"/>
    <w:rsid w:val="05C2125A"/>
    <w:rsid w:val="05E67615"/>
    <w:rsid w:val="05FA5D1E"/>
    <w:rsid w:val="0605178D"/>
    <w:rsid w:val="06236F09"/>
    <w:rsid w:val="064D0C7B"/>
    <w:rsid w:val="066F4A33"/>
    <w:rsid w:val="06EA2838"/>
    <w:rsid w:val="072E4129"/>
    <w:rsid w:val="075925E6"/>
    <w:rsid w:val="07992F5A"/>
    <w:rsid w:val="07BB7068"/>
    <w:rsid w:val="07E73EE3"/>
    <w:rsid w:val="080A3FCD"/>
    <w:rsid w:val="0827239F"/>
    <w:rsid w:val="083D5237"/>
    <w:rsid w:val="084142D3"/>
    <w:rsid w:val="08537854"/>
    <w:rsid w:val="08675B42"/>
    <w:rsid w:val="08E5050A"/>
    <w:rsid w:val="08EB48DC"/>
    <w:rsid w:val="09680BBB"/>
    <w:rsid w:val="0A132998"/>
    <w:rsid w:val="0A994B40"/>
    <w:rsid w:val="0A9E4912"/>
    <w:rsid w:val="0AD3407A"/>
    <w:rsid w:val="0AE07D73"/>
    <w:rsid w:val="0B1D4B9F"/>
    <w:rsid w:val="0BA13B35"/>
    <w:rsid w:val="0BBC2399"/>
    <w:rsid w:val="0BCF27F9"/>
    <w:rsid w:val="0BD332F6"/>
    <w:rsid w:val="0C23126C"/>
    <w:rsid w:val="0C81081E"/>
    <w:rsid w:val="0C8D26EF"/>
    <w:rsid w:val="0CBB0DCD"/>
    <w:rsid w:val="0CC61161"/>
    <w:rsid w:val="0D936180"/>
    <w:rsid w:val="0D97210F"/>
    <w:rsid w:val="0DE03EE2"/>
    <w:rsid w:val="0E920773"/>
    <w:rsid w:val="0E9E7E62"/>
    <w:rsid w:val="0F075B3D"/>
    <w:rsid w:val="0F2B1F4F"/>
    <w:rsid w:val="0F74290B"/>
    <w:rsid w:val="0FEE7B63"/>
    <w:rsid w:val="0FF90584"/>
    <w:rsid w:val="10C860A5"/>
    <w:rsid w:val="10DA54EB"/>
    <w:rsid w:val="11105BCB"/>
    <w:rsid w:val="11D27DC5"/>
    <w:rsid w:val="11D6694D"/>
    <w:rsid w:val="11D72E84"/>
    <w:rsid w:val="11FF3BA3"/>
    <w:rsid w:val="12097EEB"/>
    <w:rsid w:val="12BF6FA4"/>
    <w:rsid w:val="12F521C1"/>
    <w:rsid w:val="13062350"/>
    <w:rsid w:val="13114D06"/>
    <w:rsid w:val="137551BA"/>
    <w:rsid w:val="138253F3"/>
    <w:rsid w:val="13E90E7D"/>
    <w:rsid w:val="13F71873"/>
    <w:rsid w:val="13F803B8"/>
    <w:rsid w:val="149B346D"/>
    <w:rsid w:val="149D2C0B"/>
    <w:rsid w:val="14ED35CE"/>
    <w:rsid w:val="1588570F"/>
    <w:rsid w:val="15B21392"/>
    <w:rsid w:val="16251A7B"/>
    <w:rsid w:val="16DB572C"/>
    <w:rsid w:val="16FE1415"/>
    <w:rsid w:val="172C29D4"/>
    <w:rsid w:val="17564E9E"/>
    <w:rsid w:val="178E3F62"/>
    <w:rsid w:val="179A11D6"/>
    <w:rsid w:val="187278CB"/>
    <w:rsid w:val="19154E02"/>
    <w:rsid w:val="194075FE"/>
    <w:rsid w:val="19951B5B"/>
    <w:rsid w:val="19D41DC7"/>
    <w:rsid w:val="19F84C38"/>
    <w:rsid w:val="1A202DC3"/>
    <w:rsid w:val="1A585D5C"/>
    <w:rsid w:val="1A595C8F"/>
    <w:rsid w:val="1A5D6431"/>
    <w:rsid w:val="1AAD1ACB"/>
    <w:rsid w:val="1B0C1623"/>
    <w:rsid w:val="1B326183"/>
    <w:rsid w:val="1B3D734C"/>
    <w:rsid w:val="1B447FB2"/>
    <w:rsid w:val="1B85705F"/>
    <w:rsid w:val="1BB009A4"/>
    <w:rsid w:val="1BC00537"/>
    <w:rsid w:val="1BD838BE"/>
    <w:rsid w:val="1C433887"/>
    <w:rsid w:val="1C63352B"/>
    <w:rsid w:val="1C8E590C"/>
    <w:rsid w:val="1CAC66F9"/>
    <w:rsid w:val="1CC31220"/>
    <w:rsid w:val="1CD1668F"/>
    <w:rsid w:val="1CD24564"/>
    <w:rsid w:val="1CDF509E"/>
    <w:rsid w:val="1D37508A"/>
    <w:rsid w:val="1D833AD0"/>
    <w:rsid w:val="1DA7769E"/>
    <w:rsid w:val="1DB54E36"/>
    <w:rsid w:val="1E26544F"/>
    <w:rsid w:val="1EB67AFB"/>
    <w:rsid w:val="1EDF0E4F"/>
    <w:rsid w:val="1EF20C24"/>
    <w:rsid w:val="1EFA27BD"/>
    <w:rsid w:val="1F456C3D"/>
    <w:rsid w:val="1F7A021E"/>
    <w:rsid w:val="1FAB1086"/>
    <w:rsid w:val="1FEF780B"/>
    <w:rsid w:val="1FF36C63"/>
    <w:rsid w:val="20333060"/>
    <w:rsid w:val="20410D06"/>
    <w:rsid w:val="20794362"/>
    <w:rsid w:val="20A94838"/>
    <w:rsid w:val="20C95856"/>
    <w:rsid w:val="21A878A2"/>
    <w:rsid w:val="21B80284"/>
    <w:rsid w:val="21C60C94"/>
    <w:rsid w:val="21E82F53"/>
    <w:rsid w:val="22083A05"/>
    <w:rsid w:val="22096CA7"/>
    <w:rsid w:val="231F3F88"/>
    <w:rsid w:val="23350755"/>
    <w:rsid w:val="23414E98"/>
    <w:rsid w:val="234D01CE"/>
    <w:rsid w:val="23557D99"/>
    <w:rsid w:val="237B467C"/>
    <w:rsid w:val="23A33F32"/>
    <w:rsid w:val="23B153CF"/>
    <w:rsid w:val="23B61459"/>
    <w:rsid w:val="24806144"/>
    <w:rsid w:val="24844D27"/>
    <w:rsid w:val="24C1538F"/>
    <w:rsid w:val="24E446E9"/>
    <w:rsid w:val="24FF4E38"/>
    <w:rsid w:val="25450769"/>
    <w:rsid w:val="254C7188"/>
    <w:rsid w:val="257B287A"/>
    <w:rsid w:val="25A8674B"/>
    <w:rsid w:val="25C73B3B"/>
    <w:rsid w:val="25D9362D"/>
    <w:rsid w:val="25EA26C1"/>
    <w:rsid w:val="26005B04"/>
    <w:rsid w:val="26D2490E"/>
    <w:rsid w:val="27337794"/>
    <w:rsid w:val="27DF6666"/>
    <w:rsid w:val="27EE1B5B"/>
    <w:rsid w:val="282E5EC3"/>
    <w:rsid w:val="28525986"/>
    <w:rsid w:val="285B60A9"/>
    <w:rsid w:val="28652863"/>
    <w:rsid w:val="288A5D4C"/>
    <w:rsid w:val="28DD25E0"/>
    <w:rsid w:val="28FF1F96"/>
    <w:rsid w:val="290273A3"/>
    <w:rsid w:val="29973DBD"/>
    <w:rsid w:val="29D426AC"/>
    <w:rsid w:val="29DC5247"/>
    <w:rsid w:val="2A7B74FB"/>
    <w:rsid w:val="2B591B29"/>
    <w:rsid w:val="2B6644AD"/>
    <w:rsid w:val="2BB22A8A"/>
    <w:rsid w:val="2BEC617B"/>
    <w:rsid w:val="2C837CC5"/>
    <w:rsid w:val="2CF03417"/>
    <w:rsid w:val="2D0E6475"/>
    <w:rsid w:val="2DB24AA4"/>
    <w:rsid w:val="2E4F5666"/>
    <w:rsid w:val="2E627A77"/>
    <w:rsid w:val="2E821397"/>
    <w:rsid w:val="2E8350B5"/>
    <w:rsid w:val="2EE64F31"/>
    <w:rsid w:val="2F421151"/>
    <w:rsid w:val="2F4430D7"/>
    <w:rsid w:val="2F747280"/>
    <w:rsid w:val="30561973"/>
    <w:rsid w:val="308D49A4"/>
    <w:rsid w:val="30917E27"/>
    <w:rsid w:val="30B07085"/>
    <w:rsid w:val="30F57ED4"/>
    <w:rsid w:val="30F636CE"/>
    <w:rsid w:val="31171833"/>
    <w:rsid w:val="31276540"/>
    <w:rsid w:val="31696698"/>
    <w:rsid w:val="3176218B"/>
    <w:rsid w:val="31A352EC"/>
    <w:rsid w:val="32AD43B0"/>
    <w:rsid w:val="33000A2E"/>
    <w:rsid w:val="331D4D45"/>
    <w:rsid w:val="33586815"/>
    <w:rsid w:val="340878E0"/>
    <w:rsid w:val="34626DAE"/>
    <w:rsid w:val="34AF42A0"/>
    <w:rsid w:val="34F21765"/>
    <w:rsid w:val="350B05E4"/>
    <w:rsid w:val="356E6778"/>
    <w:rsid w:val="359B5634"/>
    <w:rsid w:val="35DA7390"/>
    <w:rsid w:val="35DD5BE8"/>
    <w:rsid w:val="3681148B"/>
    <w:rsid w:val="36A646A7"/>
    <w:rsid w:val="36C8600A"/>
    <w:rsid w:val="378A2713"/>
    <w:rsid w:val="37D24CA4"/>
    <w:rsid w:val="38F77026"/>
    <w:rsid w:val="390B3BAD"/>
    <w:rsid w:val="39353570"/>
    <w:rsid w:val="3A915C02"/>
    <w:rsid w:val="3AB62979"/>
    <w:rsid w:val="3ACF2DFF"/>
    <w:rsid w:val="3B1E2C92"/>
    <w:rsid w:val="3BB4504B"/>
    <w:rsid w:val="3C0B4EF4"/>
    <w:rsid w:val="3C156AA2"/>
    <w:rsid w:val="3C28585E"/>
    <w:rsid w:val="3CB46C36"/>
    <w:rsid w:val="3E8E06D6"/>
    <w:rsid w:val="3EC576AD"/>
    <w:rsid w:val="3ED50494"/>
    <w:rsid w:val="3FAC2834"/>
    <w:rsid w:val="3FFA0558"/>
    <w:rsid w:val="40A94D33"/>
    <w:rsid w:val="40B01A65"/>
    <w:rsid w:val="40BA7418"/>
    <w:rsid w:val="40C1059D"/>
    <w:rsid w:val="410D3985"/>
    <w:rsid w:val="411C2F72"/>
    <w:rsid w:val="4138623E"/>
    <w:rsid w:val="41870684"/>
    <w:rsid w:val="4196177A"/>
    <w:rsid w:val="427B581C"/>
    <w:rsid w:val="429B3FB2"/>
    <w:rsid w:val="430F7D93"/>
    <w:rsid w:val="43265537"/>
    <w:rsid w:val="433656A7"/>
    <w:rsid w:val="4364761E"/>
    <w:rsid w:val="4378508A"/>
    <w:rsid w:val="437E0FB6"/>
    <w:rsid w:val="43BA1751"/>
    <w:rsid w:val="43BF4487"/>
    <w:rsid w:val="444513A7"/>
    <w:rsid w:val="44604933"/>
    <w:rsid w:val="4466019E"/>
    <w:rsid w:val="44714AFB"/>
    <w:rsid w:val="44796AC2"/>
    <w:rsid w:val="44FD15D2"/>
    <w:rsid w:val="453B32A8"/>
    <w:rsid w:val="454E77EE"/>
    <w:rsid w:val="45D02B0D"/>
    <w:rsid w:val="45DD1912"/>
    <w:rsid w:val="461F3EBE"/>
    <w:rsid w:val="464E73A4"/>
    <w:rsid w:val="4684492B"/>
    <w:rsid w:val="46885010"/>
    <w:rsid w:val="469E548C"/>
    <w:rsid w:val="46AD6854"/>
    <w:rsid w:val="47CB3E36"/>
    <w:rsid w:val="47F61B67"/>
    <w:rsid w:val="485A0EA8"/>
    <w:rsid w:val="486670CC"/>
    <w:rsid w:val="488A744B"/>
    <w:rsid w:val="48DF35DF"/>
    <w:rsid w:val="49BF4571"/>
    <w:rsid w:val="4A365D92"/>
    <w:rsid w:val="4A515382"/>
    <w:rsid w:val="4A8B7951"/>
    <w:rsid w:val="4AEF427C"/>
    <w:rsid w:val="4BA570DC"/>
    <w:rsid w:val="4BB23BBB"/>
    <w:rsid w:val="4BB42B60"/>
    <w:rsid w:val="4C4614BD"/>
    <w:rsid w:val="4CEF26B4"/>
    <w:rsid w:val="4D1B4648"/>
    <w:rsid w:val="4D6F59A6"/>
    <w:rsid w:val="4DCA5C65"/>
    <w:rsid w:val="4DEF3BEF"/>
    <w:rsid w:val="4E231736"/>
    <w:rsid w:val="4E27013D"/>
    <w:rsid w:val="4E4B0FF8"/>
    <w:rsid w:val="4E9354A6"/>
    <w:rsid w:val="4F0F2447"/>
    <w:rsid w:val="4F217F9B"/>
    <w:rsid w:val="4F505B88"/>
    <w:rsid w:val="4F604D34"/>
    <w:rsid w:val="4FB2726C"/>
    <w:rsid w:val="500633F4"/>
    <w:rsid w:val="50084A13"/>
    <w:rsid w:val="50443630"/>
    <w:rsid w:val="504C3368"/>
    <w:rsid w:val="509C405F"/>
    <w:rsid w:val="5126460E"/>
    <w:rsid w:val="516A0A8D"/>
    <w:rsid w:val="5188598E"/>
    <w:rsid w:val="51936115"/>
    <w:rsid w:val="51D6626D"/>
    <w:rsid w:val="521E7F95"/>
    <w:rsid w:val="523E4376"/>
    <w:rsid w:val="52400863"/>
    <w:rsid w:val="525853E7"/>
    <w:rsid w:val="52B20682"/>
    <w:rsid w:val="532606DF"/>
    <w:rsid w:val="535350A5"/>
    <w:rsid w:val="53C564F0"/>
    <w:rsid w:val="53D123DC"/>
    <w:rsid w:val="540D40C4"/>
    <w:rsid w:val="545C5D5F"/>
    <w:rsid w:val="547871EB"/>
    <w:rsid w:val="54793793"/>
    <w:rsid w:val="54B57CF7"/>
    <w:rsid w:val="54B946F7"/>
    <w:rsid w:val="54B97DCC"/>
    <w:rsid w:val="54EB63CD"/>
    <w:rsid w:val="55384DC6"/>
    <w:rsid w:val="55686D3C"/>
    <w:rsid w:val="557E11BB"/>
    <w:rsid w:val="56C647B3"/>
    <w:rsid w:val="56E12E8A"/>
    <w:rsid w:val="56EF5D14"/>
    <w:rsid w:val="572B04AD"/>
    <w:rsid w:val="573B36AB"/>
    <w:rsid w:val="57DF501C"/>
    <w:rsid w:val="58096E6F"/>
    <w:rsid w:val="582D1AC4"/>
    <w:rsid w:val="59B72D27"/>
    <w:rsid w:val="59C04459"/>
    <w:rsid w:val="59F11840"/>
    <w:rsid w:val="5A246D39"/>
    <w:rsid w:val="5A2D6255"/>
    <w:rsid w:val="5A344C5B"/>
    <w:rsid w:val="5A404F42"/>
    <w:rsid w:val="5A4910FB"/>
    <w:rsid w:val="5A586E6E"/>
    <w:rsid w:val="5A751744"/>
    <w:rsid w:val="5AC2653B"/>
    <w:rsid w:val="5AE747C3"/>
    <w:rsid w:val="5B0F786F"/>
    <w:rsid w:val="5B3E0ACF"/>
    <w:rsid w:val="5B4A3D91"/>
    <w:rsid w:val="5B774E71"/>
    <w:rsid w:val="5B86479E"/>
    <w:rsid w:val="5B9E6027"/>
    <w:rsid w:val="5BA23B0C"/>
    <w:rsid w:val="5C0B3189"/>
    <w:rsid w:val="5C0E651B"/>
    <w:rsid w:val="5CFF5879"/>
    <w:rsid w:val="5D2B4BB7"/>
    <w:rsid w:val="5D4930BF"/>
    <w:rsid w:val="5D8A4F8E"/>
    <w:rsid w:val="5DD12620"/>
    <w:rsid w:val="5E1D09B1"/>
    <w:rsid w:val="5E42737D"/>
    <w:rsid w:val="5E43257A"/>
    <w:rsid w:val="5E605C3C"/>
    <w:rsid w:val="5E6C2D25"/>
    <w:rsid w:val="5E984F4E"/>
    <w:rsid w:val="5EB30539"/>
    <w:rsid w:val="5EE0506F"/>
    <w:rsid w:val="5F63338A"/>
    <w:rsid w:val="5F6A70D2"/>
    <w:rsid w:val="5F906AA3"/>
    <w:rsid w:val="5F9472E7"/>
    <w:rsid w:val="5F9E5A83"/>
    <w:rsid w:val="600A602E"/>
    <w:rsid w:val="603F2C9B"/>
    <w:rsid w:val="60527107"/>
    <w:rsid w:val="60B55130"/>
    <w:rsid w:val="60F258A3"/>
    <w:rsid w:val="61171764"/>
    <w:rsid w:val="611C403B"/>
    <w:rsid w:val="612F7E3B"/>
    <w:rsid w:val="61687FE2"/>
    <w:rsid w:val="61AA735E"/>
    <w:rsid w:val="621A3574"/>
    <w:rsid w:val="62843754"/>
    <w:rsid w:val="62B97337"/>
    <w:rsid w:val="62D06280"/>
    <w:rsid w:val="62E01977"/>
    <w:rsid w:val="62E95975"/>
    <w:rsid w:val="62F507BA"/>
    <w:rsid w:val="63681B9C"/>
    <w:rsid w:val="63C51AC5"/>
    <w:rsid w:val="63D262A7"/>
    <w:rsid w:val="64643702"/>
    <w:rsid w:val="64AE43BE"/>
    <w:rsid w:val="64B03B59"/>
    <w:rsid w:val="64E06A1A"/>
    <w:rsid w:val="64E351D7"/>
    <w:rsid w:val="6537655B"/>
    <w:rsid w:val="654A1320"/>
    <w:rsid w:val="65681D1D"/>
    <w:rsid w:val="65D331FF"/>
    <w:rsid w:val="668C02C9"/>
    <w:rsid w:val="66A8173D"/>
    <w:rsid w:val="66CF4A15"/>
    <w:rsid w:val="66F50CAA"/>
    <w:rsid w:val="67194E2F"/>
    <w:rsid w:val="676A6A91"/>
    <w:rsid w:val="67784575"/>
    <w:rsid w:val="67E8480C"/>
    <w:rsid w:val="68171E00"/>
    <w:rsid w:val="68910E56"/>
    <w:rsid w:val="68AB1D64"/>
    <w:rsid w:val="69C223F9"/>
    <w:rsid w:val="69DD1477"/>
    <w:rsid w:val="69EA7815"/>
    <w:rsid w:val="6A3833A6"/>
    <w:rsid w:val="6A6F5EEB"/>
    <w:rsid w:val="6AB73E1A"/>
    <w:rsid w:val="6AE00BC1"/>
    <w:rsid w:val="6B040BC3"/>
    <w:rsid w:val="6B23238E"/>
    <w:rsid w:val="6B38463A"/>
    <w:rsid w:val="6B4E163E"/>
    <w:rsid w:val="6B7E07FD"/>
    <w:rsid w:val="6B8148DE"/>
    <w:rsid w:val="6BD11FAE"/>
    <w:rsid w:val="6BE60AD2"/>
    <w:rsid w:val="6C2D2B5A"/>
    <w:rsid w:val="6C386E1D"/>
    <w:rsid w:val="6C461D15"/>
    <w:rsid w:val="6C7B529C"/>
    <w:rsid w:val="6C991530"/>
    <w:rsid w:val="6CA84F28"/>
    <w:rsid w:val="6CAC6D99"/>
    <w:rsid w:val="6CB17410"/>
    <w:rsid w:val="6CC3543E"/>
    <w:rsid w:val="6CDC3B2B"/>
    <w:rsid w:val="6D2D0F3F"/>
    <w:rsid w:val="6D2F3BBD"/>
    <w:rsid w:val="6D7B7A66"/>
    <w:rsid w:val="6D905698"/>
    <w:rsid w:val="6DA61A64"/>
    <w:rsid w:val="6DBD0949"/>
    <w:rsid w:val="6E1603CB"/>
    <w:rsid w:val="6E84034D"/>
    <w:rsid w:val="6F1E0D5A"/>
    <w:rsid w:val="6F2E04E4"/>
    <w:rsid w:val="6F493520"/>
    <w:rsid w:val="6FA12229"/>
    <w:rsid w:val="6FC22B46"/>
    <w:rsid w:val="6FC37A97"/>
    <w:rsid w:val="6FDC7143"/>
    <w:rsid w:val="6FE45653"/>
    <w:rsid w:val="70554341"/>
    <w:rsid w:val="7089404F"/>
    <w:rsid w:val="70975AE3"/>
    <w:rsid w:val="70AF1C7C"/>
    <w:rsid w:val="70BB3092"/>
    <w:rsid w:val="719D793C"/>
    <w:rsid w:val="71BC5F4C"/>
    <w:rsid w:val="71D42690"/>
    <w:rsid w:val="71FE35D0"/>
    <w:rsid w:val="73710DE8"/>
    <w:rsid w:val="738B6ECD"/>
    <w:rsid w:val="73D32FE7"/>
    <w:rsid w:val="740D39D4"/>
    <w:rsid w:val="74183D26"/>
    <w:rsid w:val="742A1457"/>
    <w:rsid w:val="743069D9"/>
    <w:rsid w:val="7472693D"/>
    <w:rsid w:val="749D7B69"/>
    <w:rsid w:val="75277C95"/>
    <w:rsid w:val="75652953"/>
    <w:rsid w:val="75934016"/>
    <w:rsid w:val="75CB0ECB"/>
    <w:rsid w:val="75D06069"/>
    <w:rsid w:val="75E7418D"/>
    <w:rsid w:val="76071FAE"/>
    <w:rsid w:val="76131444"/>
    <w:rsid w:val="762A7C7A"/>
    <w:rsid w:val="76645525"/>
    <w:rsid w:val="76EF10C5"/>
    <w:rsid w:val="773B151D"/>
    <w:rsid w:val="77BB6838"/>
    <w:rsid w:val="780A14FB"/>
    <w:rsid w:val="781666A4"/>
    <w:rsid w:val="781E6760"/>
    <w:rsid w:val="78376F00"/>
    <w:rsid w:val="78413F3B"/>
    <w:rsid w:val="7875223D"/>
    <w:rsid w:val="793A7663"/>
    <w:rsid w:val="799F2BDF"/>
    <w:rsid w:val="79B07D84"/>
    <w:rsid w:val="79C54F96"/>
    <w:rsid w:val="7A1816D7"/>
    <w:rsid w:val="7A6779ED"/>
    <w:rsid w:val="7A7F1552"/>
    <w:rsid w:val="7A8F2184"/>
    <w:rsid w:val="7AB279F2"/>
    <w:rsid w:val="7B1421C8"/>
    <w:rsid w:val="7B3159C3"/>
    <w:rsid w:val="7B7873A1"/>
    <w:rsid w:val="7BA74411"/>
    <w:rsid w:val="7C403B9E"/>
    <w:rsid w:val="7C5D3006"/>
    <w:rsid w:val="7C993F7F"/>
    <w:rsid w:val="7CBE27BE"/>
    <w:rsid w:val="7CC54BC6"/>
    <w:rsid w:val="7CC5604D"/>
    <w:rsid w:val="7CD3558A"/>
    <w:rsid w:val="7CE27CFF"/>
    <w:rsid w:val="7D9F149E"/>
    <w:rsid w:val="7DD34743"/>
    <w:rsid w:val="7DF12D8F"/>
    <w:rsid w:val="7E14633A"/>
    <w:rsid w:val="7E8F6CAE"/>
    <w:rsid w:val="7EE21386"/>
    <w:rsid w:val="7F0167D8"/>
    <w:rsid w:val="7F857CDD"/>
    <w:rsid w:val="7F8F3199"/>
    <w:rsid w:val="7FD465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annotation text"/>
    <w:basedOn w:val="1"/>
    <w:link w:val="17"/>
    <w:uiPriority w:val="0"/>
    <w:pPr>
      <w:jc w:val="left"/>
    </w:pPr>
  </w:style>
  <w:style w:type="paragraph" w:styleId="3">
    <w:name w:val="Body Text Indent"/>
    <w:basedOn w:val="1"/>
    <w:uiPriority w:val="0"/>
    <w:pPr>
      <w:ind w:firstLine="576"/>
    </w:pPr>
    <w:rPr>
      <w:rFonts w:ascii="仿宋_GB2312" w:eastAsia="仿宋_GB2312"/>
      <w:sz w:val="28"/>
      <w:szCs w:val="24"/>
    </w:rPr>
  </w:style>
  <w:style w:type="paragraph" w:styleId="4">
    <w:name w:val="Plain Text"/>
    <w:basedOn w:val="1"/>
    <w:link w:val="18"/>
    <w:uiPriority w:val="99"/>
    <w:rPr>
      <w:rFonts w:ascii="宋体" w:hAnsi="Courier New"/>
    </w:rPr>
  </w:style>
  <w:style w:type="paragraph" w:styleId="5">
    <w:name w:val="Date"/>
    <w:basedOn w:val="1"/>
    <w:next w:val="1"/>
    <w:uiPriority w:val="0"/>
    <w:pPr>
      <w:adjustRightInd w:val="0"/>
      <w:spacing w:line="312" w:lineRule="atLeast"/>
      <w:jc w:val="right"/>
      <w:textAlignment w:val="baseline"/>
    </w:pPr>
    <w:rPr>
      <w:kern w:val="0"/>
    </w:rPr>
  </w:style>
  <w:style w:type="paragraph" w:styleId="6">
    <w:name w:val="Balloon Text"/>
    <w:basedOn w:val="1"/>
    <w:semiHidden/>
    <w:uiPriority w:val="0"/>
    <w:rPr>
      <w:sz w:val="18"/>
      <w:szCs w:val="18"/>
    </w:rPr>
  </w:style>
  <w:style w:type="paragraph" w:styleId="7">
    <w:name w:val="footer"/>
    <w:basedOn w:val="1"/>
    <w:link w:val="19"/>
    <w:uiPriority w:val="0"/>
    <w:pPr>
      <w:tabs>
        <w:tab w:val="center" w:pos="4153"/>
        <w:tab w:val="right" w:pos="8306"/>
      </w:tabs>
      <w:snapToGrid w:val="0"/>
      <w:jc w:val="left"/>
    </w:pPr>
    <w:rPr>
      <w:sz w:val="18"/>
      <w:szCs w:val="18"/>
    </w:rPr>
  </w:style>
  <w:style w:type="paragraph" w:styleId="8">
    <w:name w:val="header"/>
    <w:basedOn w:val="1"/>
    <w:link w:val="20"/>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uiPriority w:val="0"/>
    <w:rPr>
      <w:b/>
      <w:bCs/>
    </w:rPr>
  </w:style>
  <w:style w:type="table" w:styleId="12">
    <w:name w:val="Table Grid"/>
    <w:basedOn w:val="1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uiPriority w:val="0"/>
    <w:rPr>
      <w:color w:val="0000FF"/>
      <w:u w:val="single"/>
    </w:rPr>
  </w:style>
  <w:style w:type="character" w:styleId="16">
    <w:name w:val="annotation reference"/>
    <w:uiPriority w:val="0"/>
    <w:rPr>
      <w:sz w:val="21"/>
      <w:szCs w:val="21"/>
    </w:rPr>
  </w:style>
  <w:style w:type="character" w:customStyle="1" w:styleId="17">
    <w:name w:val="批注文字 字符"/>
    <w:link w:val="2"/>
    <w:uiPriority w:val="0"/>
    <w:rPr>
      <w:kern w:val="2"/>
      <w:sz w:val="21"/>
    </w:rPr>
  </w:style>
  <w:style w:type="character" w:customStyle="1" w:styleId="18">
    <w:name w:val="纯文本 字符"/>
    <w:link w:val="4"/>
    <w:uiPriority w:val="99"/>
    <w:rPr>
      <w:rFonts w:ascii="宋体" w:hAnsi="Courier New"/>
      <w:kern w:val="2"/>
      <w:sz w:val="21"/>
    </w:rPr>
  </w:style>
  <w:style w:type="character" w:customStyle="1" w:styleId="19">
    <w:name w:val="页脚 字符"/>
    <w:link w:val="7"/>
    <w:uiPriority w:val="0"/>
    <w:rPr>
      <w:kern w:val="2"/>
      <w:sz w:val="18"/>
      <w:szCs w:val="18"/>
    </w:rPr>
  </w:style>
  <w:style w:type="character" w:customStyle="1" w:styleId="20">
    <w:name w:val="页眉 字符"/>
    <w:link w:val="8"/>
    <w:uiPriority w:val="0"/>
    <w:rPr>
      <w:kern w:val="2"/>
      <w:sz w:val="18"/>
      <w:szCs w:val="18"/>
    </w:rPr>
  </w:style>
  <w:style w:type="character" w:customStyle="1" w:styleId="21">
    <w:name w:val="批注主题 字符"/>
    <w:link w:val="10"/>
    <w:uiPriority w:val="0"/>
    <w:rPr>
      <w:b/>
      <w:bCs/>
      <w:kern w:val="2"/>
      <w:sz w:val="21"/>
    </w:rPr>
  </w:style>
  <w:style w:type="paragraph" w:customStyle="1" w:styleId="22">
    <w:name w:val="CM3"/>
    <w:basedOn w:val="1"/>
    <w:next w:val="1"/>
    <w:uiPriority w:val="0"/>
    <w:pPr>
      <w:autoSpaceDE w:val="0"/>
      <w:autoSpaceDN w:val="0"/>
      <w:adjustRightInd w:val="0"/>
      <w:spacing w:after="468"/>
      <w:jc w:val="left"/>
    </w:pPr>
    <w:rPr>
      <w:rFonts w:ascii="宋体"/>
      <w:kern w:val="0"/>
      <w:sz w:val="24"/>
      <w:szCs w:val="24"/>
    </w:rPr>
  </w:style>
  <w:style w:type="paragraph" w:customStyle="1" w:styleId="23">
    <w:name w:val=" Char Char Char Char Char Char Char Char Char"/>
    <w:basedOn w:val="1"/>
    <w:uiPriority w:val="0"/>
    <w:pPr>
      <w:numPr>
        <w:ilvl w:val="0"/>
        <w:numId w:val="1"/>
      </w:numPr>
    </w:pPr>
    <w:rPr>
      <w:sz w:val="24"/>
      <w:szCs w:val="24"/>
    </w:rPr>
  </w:style>
  <w:style w:type="paragraph" w:customStyle="1" w:styleId="24">
    <w:name w:val="CM2"/>
    <w:basedOn w:val="1"/>
    <w:next w:val="1"/>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6">
    <w:name w:val="fontstyle01"/>
    <w:uiPriority w:val="0"/>
    <w:rPr>
      <w:rFonts w:hint="eastAsia" w:ascii="宋体" w:hAnsi="宋体" w:eastAsia="宋体"/>
      <w:color w:val="000000"/>
      <w:sz w:val="24"/>
      <w:szCs w:val="24"/>
    </w:rPr>
  </w:style>
  <w:style w:type="paragraph" w:customStyle="1" w:styleId="27">
    <w:name w:val="CM11"/>
    <w:basedOn w:val="1"/>
    <w:next w:val="1"/>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201</Words>
  <Characters>1151</Characters>
  <Lines>9</Lines>
  <Paragraphs>2</Paragraphs>
  <TotalTime>3</TotalTime>
  <ScaleCrop>false</ScaleCrop>
  <LinksUpToDate>false</LinksUpToDate>
  <CharactersWithSpaces>1350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2023-07-17T02:29:00Z</dcterms:created>
  <dc:creator>qw</dc:creator>
  <cp:lastModifiedBy>海涛</cp:lastModifiedBy>
  <cp:lastPrinted>2017-05-27T01:49:00Z</cp:lastPrinted>
  <dcterms:modified xsi:type="dcterms:W3CDTF">2023-09-27T00:21:50Z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06900C26CEEE44E182F99B3B0F813B52_13</vt:lpwstr>
  </property>
</Properties>
</file>