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5000" w:type="pct"/>
        <w:tblInd w:w="0" w:type="dxa"/>
        <w:tblLayout w:type="autofit"/>
        <w:tblCellMar>
          <w:top w:w="0" w:type="dxa"/>
          <w:left w:w="108" w:type="dxa"/>
          <w:bottom w:w="0" w:type="dxa"/>
          <w:right w:w="108" w:type="dxa"/>
        </w:tblCellMar>
      </w:tblPr>
      <w:tblGrid>
        <w:gridCol w:w="2980"/>
        <w:gridCol w:w="2983"/>
        <w:gridCol w:w="2983"/>
      </w:tblGrid>
      <w:tr>
        <w:tblPrEx>
          <w:tblCellMar>
            <w:top w:w="0" w:type="dxa"/>
            <w:left w:w="108" w:type="dxa"/>
            <w:bottom w:w="0" w:type="dxa"/>
            <w:right w:w="108" w:type="dxa"/>
          </w:tblCellMar>
        </w:tblPrEx>
        <w:tc>
          <w:tcPr>
            <w:tcW w:w="1666" w:type="pct"/>
            <w:shd w:val="clear" w:color="auto" w:fill="auto"/>
          </w:tcPr>
          <w:p>
            <w:pPr>
              <w:keepNext w:val="0"/>
              <w:keepLines w:val="0"/>
              <w:widowControl w:val="0"/>
              <w:suppressLineNumbers w:val="0"/>
              <w:adjustRightInd w:val="0"/>
              <w:snapToGrid w:val="0"/>
              <w:spacing w:before="0" w:beforeAutospacing="0" w:after="0" w:afterAutospacing="0" w:line="440" w:lineRule="exact"/>
              <w:ind w:left="0" w:right="0"/>
              <w:jc w:val="both"/>
              <w:rPr>
                <w:rFonts w:hint="default" w:ascii="Times New Roman" w:hAnsi="Times New Roman" w:cs="Times New Roman"/>
                <w:kern w:val="2"/>
                <w:szCs w:val="20"/>
              </w:rPr>
            </w:pPr>
            <w:r>
              <w:rPr>
                <w:rFonts w:hint="default" w:ascii="Times New Roman" w:hAnsi="Times New Roman" w:cs="Times New Roman"/>
                <w:kern w:val="2"/>
                <w:szCs w:val="20"/>
              </w:rPr>
              <w:t>证券代码：000881</w:t>
            </w:r>
          </w:p>
        </w:tc>
        <w:tc>
          <w:tcPr>
            <w:tcW w:w="1667" w:type="pct"/>
            <w:shd w:val="clear" w:color="auto" w:fill="auto"/>
          </w:tcPr>
          <w:p>
            <w:pPr>
              <w:keepNext w:val="0"/>
              <w:keepLines w:val="0"/>
              <w:widowControl w:val="0"/>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kern w:val="2"/>
                <w:szCs w:val="20"/>
              </w:rPr>
            </w:pPr>
            <w:r>
              <w:rPr>
                <w:rFonts w:hint="default" w:ascii="Times New Roman" w:hAnsi="Times New Roman" w:cs="Times New Roman"/>
                <w:kern w:val="2"/>
                <w:szCs w:val="20"/>
              </w:rPr>
              <w:t>证券简称：中广核技</w:t>
            </w:r>
          </w:p>
        </w:tc>
        <w:tc>
          <w:tcPr>
            <w:tcW w:w="1667" w:type="pct"/>
            <w:shd w:val="clear" w:color="auto" w:fill="auto"/>
          </w:tcPr>
          <w:p>
            <w:pPr>
              <w:keepNext w:val="0"/>
              <w:keepLines w:val="0"/>
              <w:widowControl w:val="0"/>
              <w:suppressLineNumbers w:val="0"/>
              <w:wordWrap w:val="0"/>
              <w:adjustRightInd w:val="0"/>
              <w:snapToGrid w:val="0"/>
              <w:spacing w:before="0" w:beforeAutospacing="0" w:after="0" w:afterAutospacing="0" w:line="440" w:lineRule="exact"/>
              <w:ind w:left="0" w:right="0"/>
              <w:jc w:val="right"/>
              <w:rPr>
                <w:rFonts w:hint="default" w:ascii="Times New Roman" w:hAnsi="Times New Roman" w:eastAsia="宋体" w:cs="Times New Roman"/>
                <w:kern w:val="2"/>
                <w:szCs w:val="20"/>
                <w:lang w:val="en-US" w:eastAsia="zh-CN"/>
              </w:rPr>
            </w:pPr>
            <w:r>
              <w:rPr>
                <w:rFonts w:hint="default" w:ascii="Times New Roman" w:hAnsi="Times New Roman" w:cs="Times New Roman"/>
                <w:kern w:val="2"/>
                <w:szCs w:val="20"/>
              </w:rPr>
              <w:t>公告编号：202</w:t>
            </w:r>
            <w:r>
              <w:rPr>
                <w:rFonts w:hint="default" w:ascii="Times New Roman" w:hAnsi="Times New Roman" w:cs="Times New Roman"/>
                <w:kern w:val="2"/>
                <w:szCs w:val="20"/>
                <w:lang w:val="en-US" w:eastAsia="zh-CN"/>
              </w:rPr>
              <w:t>3</w:t>
            </w:r>
            <w:r>
              <w:rPr>
                <w:rFonts w:hint="default" w:ascii="Times New Roman" w:hAnsi="Times New Roman" w:cs="Times New Roman"/>
                <w:kern w:val="2"/>
                <w:szCs w:val="20"/>
              </w:rPr>
              <w:t>-</w:t>
            </w:r>
            <w:r>
              <w:rPr>
                <w:rFonts w:hint="default" w:ascii="Times New Roman" w:hAnsi="Times New Roman" w:cs="Times New Roman"/>
                <w:kern w:val="2"/>
                <w:szCs w:val="20"/>
                <w:lang w:val="en-US" w:eastAsia="zh-CN"/>
              </w:rPr>
              <w:t>036</w:t>
            </w:r>
          </w:p>
        </w:tc>
      </w:tr>
    </w:tbl>
    <w:p>
      <w:pPr>
        <w:widowControl w:val="0"/>
        <w:snapToGrid w:val="0"/>
        <w:spacing w:before="180" w:beforeLines="50"/>
        <w:jc w:val="center"/>
        <w:rPr>
          <w:rFonts w:hint="default" w:ascii="Times New Roman" w:hAnsi="Times New Roman" w:cs="Times New Roman"/>
          <w:b/>
          <w:kern w:val="2"/>
          <w:sz w:val="36"/>
          <w:szCs w:val="36"/>
        </w:rPr>
      </w:pPr>
      <w:r>
        <w:rPr>
          <w:rFonts w:hint="default" w:ascii="Times New Roman" w:hAnsi="Times New Roman" w:cs="Times New Roman"/>
          <w:b/>
          <w:kern w:val="2"/>
          <w:sz w:val="36"/>
          <w:szCs w:val="36"/>
        </w:rPr>
        <w:t>中广核核技术发展股份有限公司</w:t>
      </w:r>
    </w:p>
    <w:p>
      <w:pPr>
        <w:widowControl w:val="0"/>
        <w:snapToGrid w:val="0"/>
        <w:jc w:val="center"/>
        <w:rPr>
          <w:rFonts w:hint="default" w:ascii="Times New Roman" w:hAnsi="Times New Roman" w:cs="Times New Roman"/>
          <w:b/>
          <w:kern w:val="2"/>
          <w:sz w:val="36"/>
          <w:szCs w:val="36"/>
        </w:rPr>
      </w:pPr>
      <w:r>
        <w:rPr>
          <w:rFonts w:hint="default" w:ascii="Times New Roman" w:hAnsi="Times New Roman" w:cs="Times New Roman"/>
          <w:b/>
          <w:kern w:val="2"/>
          <w:sz w:val="36"/>
          <w:szCs w:val="36"/>
        </w:rPr>
        <w:t>关于确认202</w:t>
      </w:r>
      <w:r>
        <w:rPr>
          <w:rFonts w:hint="default" w:ascii="Times New Roman" w:hAnsi="Times New Roman" w:cs="Times New Roman"/>
          <w:b/>
          <w:kern w:val="2"/>
          <w:sz w:val="36"/>
          <w:szCs w:val="36"/>
          <w:lang w:val="en-US" w:eastAsia="zh-CN"/>
        </w:rPr>
        <w:t>2</w:t>
      </w:r>
      <w:r>
        <w:rPr>
          <w:rFonts w:hint="default" w:ascii="Times New Roman" w:hAnsi="Times New Roman" w:cs="Times New Roman"/>
          <w:b/>
          <w:kern w:val="2"/>
          <w:sz w:val="36"/>
          <w:szCs w:val="36"/>
        </w:rPr>
        <w:t>年度日常关联交易和预计202</w:t>
      </w:r>
      <w:r>
        <w:rPr>
          <w:rFonts w:hint="default" w:ascii="Times New Roman" w:hAnsi="Times New Roman" w:cs="Times New Roman"/>
          <w:b/>
          <w:kern w:val="2"/>
          <w:sz w:val="36"/>
          <w:szCs w:val="36"/>
          <w:lang w:val="en-US" w:eastAsia="zh-CN"/>
        </w:rPr>
        <w:t>3</w:t>
      </w:r>
      <w:r>
        <w:rPr>
          <w:rFonts w:hint="default" w:ascii="Times New Roman" w:hAnsi="Times New Roman" w:cs="Times New Roman"/>
          <w:b/>
          <w:kern w:val="2"/>
          <w:sz w:val="36"/>
          <w:szCs w:val="36"/>
        </w:rPr>
        <w:t>年度</w:t>
      </w:r>
    </w:p>
    <w:p>
      <w:pPr>
        <w:widowControl w:val="0"/>
        <w:snapToGrid w:val="0"/>
        <w:jc w:val="center"/>
        <w:rPr>
          <w:rFonts w:hint="default" w:ascii="Times New Roman" w:hAnsi="Times New Roman" w:cs="Times New Roman"/>
          <w:b/>
          <w:kern w:val="2"/>
          <w:sz w:val="36"/>
          <w:szCs w:val="36"/>
        </w:rPr>
      </w:pPr>
      <w:r>
        <w:rPr>
          <w:rFonts w:hint="default" w:ascii="Times New Roman" w:hAnsi="Times New Roman" w:cs="Times New Roman"/>
          <w:b/>
          <w:kern w:val="2"/>
          <w:sz w:val="36"/>
          <w:szCs w:val="36"/>
        </w:rPr>
        <w:t>日常关联交易的公告</w:t>
      </w:r>
    </w:p>
    <w:p>
      <w:pPr>
        <w:widowControl w:val="0"/>
        <w:snapToGrid w:val="0"/>
        <w:spacing w:before="180" w:beforeLines="50" w:line="360" w:lineRule="auto"/>
        <w:ind w:firstLine="422" w:firstLineChars="200"/>
        <w:jc w:val="both"/>
        <w:rPr>
          <w:rFonts w:hint="default" w:ascii="Times New Roman" w:hAnsi="Times New Roman" w:cs="Times New Roman"/>
          <w:b/>
          <w:kern w:val="2"/>
          <w:sz w:val="21"/>
          <w:szCs w:val="21"/>
        </w:rPr>
      </w:pPr>
      <w:r>
        <w:rPr>
          <w:rFonts w:hint="default" w:ascii="Times New Roman" w:hAnsi="Times New Roman" w:cs="Times New Roman"/>
          <w:b/>
          <w:kern w:val="2"/>
          <w:sz w:val="21"/>
          <w:szCs w:val="21"/>
        </w:rPr>
        <w:t>本公司及董事会全体成员保证信息披露的内容真实、准确、完整，没有虚假记载、误导性陈述或者重大遗漏。</w:t>
      </w:r>
    </w:p>
    <w:p>
      <w:pPr>
        <w:pStyle w:val="21"/>
        <w:adjustRightInd w:val="0"/>
        <w:snapToGrid w:val="0"/>
        <w:spacing w:line="360" w:lineRule="auto"/>
        <w:ind w:firstLine="482"/>
        <w:outlineLvl w:val="0"/>
        <w:rPr>
          <w:rFonts w:hint="default" w:ascii="Times New Roman" w:hAnsi="Times New Roman" w:cs="Times New Roman"/>
          <w:b/>
          <w:sz w:val="24"/>
        </w:rPr>
      </w:pPr>
      <w:r>
        <w:rPr>
          <w:rFonts w:hint="default" w:ascii="Times New Roman" w:hAnsi="Times New Roman" w:cs="Times New Roman"/>
          <w:b/>
          <w:sz w:val="24"/>
        </w:rPr>
        <w:t>一、日常关联交易基本情况</w:t>
      </w: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rPr>
        <w:t>（一）日常关联交易概述</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本次关联交易是预计中广核核技术发展股份有限公司（以下简称“公司”或“中广核技”，含控股子公司）202</w:t>
      </w:r>
      <w:r>
        <w:rPr>
          <w:rFonts w:hint="default" w:ascii="Times New Roman" w:hAnsi="Times New Roman" w:cs="Times New Roman"/>
          <w:kern w:val="2"/>
          <w:szCs w:val="20"/>
          <w:lang w:val="en-US" w:eastAsia="zh-CN"/>
        </w:rPr>
        <w:t>3</w:t>
      </w:r>
      <w:r>
        <w:rPr>
          <w:rFonts w:hint="default" w:ascii="Times New Roman" w:hAnsi="Times New Roman" w:cs="Times New Roman"/>
          <w:kern w:val="2"/>
          <w:szCs w:val="20"/>
        </w:rPr>
        <w:t>年度日常关联交易的基本情况，主要包括公司与关联方之间</w:t>
      </w:r>
      <w:r>
        <w:rPr>
          <w:rFonts w:hint="default" w:ascii="Times New Roman" w:hAnsi="Times New Roman" w:cs="Times New Roman"/>
          <w:kern w:val="2"/>
          <w:szCs w:val="20"/>
          <w:lang w:val="en-US" w:eastAsia="zh-CN"/>
        </w:rPr>
        <w:t>金融服务、</w:t>
      </w:r>
      <w:r>
        <w:rPr>
          <w:rFonts w:hint="default" w:ascii="Times New Roman" w:hAnsi="Times New Roman" w:cs="Times New Roman"/>
          <w:kern w:val="2"/>
          <w:szCs w:val="20"/>
        </w:rPr>
        <w:t>采购销售、接受与提供劳务、租赁等事项。</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公司第</w:t>
      </w:r>
      <w:r>
        <w:rPr>
          <w:rFonts w:hint="default" w:ascii="Times New Roman" w:hAnsi="Times New Roman" w:cs="Times New Roman"/>
          <w:kern w:val="2"/>
          <w:szCs w:val="20"/>
          <w:lang w:val="en-US" w:eastAsia="zh-CN"/>
        </w:rPr>
        <w:t>十</w:t>
      </w:r>
      <w:r>
        <w:rPr>
          <w:rFonts w:hint="default" w:ascii="Times New Roman" w:hAnsi="Times New Roman" w:cs="Times New Roman"/>
          <w:kern w:val="2"/>
          <w:szCs w:val="20"/>
        </w:rPr>
        <w:t>届董事会第</w:t>
      </w:r>
      <w:r>
        <w:rPr>
          <w:rFonts w:hint="default" w:ascii="Times New Roman" w:hAnsi="Times New Roman" w:cs="Times New Roman"/>
          <w:kern w:val="2"/>
          <w:szCs w:val="20"/>
          <w:lang w:val="en-US" w:eastAsia="zh-CN"/>
        </w:rPr>
        <w:t>四</w:t>
      </w:r>
      <w:r>
        <w:rPr>
          <w:rFonts w:hint="default" w:ascii="Times New Roman" w:hAnsi="Times New Roman" w:cs="Times New Roman"/>
          <w:kern w:val="2"/>
          <w:szCs w:val="20"/>
        </w:rPr>
        <w:t>次会议于202</w:t>
      </w:r>
      <w:r>
        <w:rPr>
          <w:rFonts w:hint="default" w:ascii="Times New Roman" w:hAnsi="Times New Roman" w:cs="Times New Roman"/>
          <w:kern w:val="2"/>
          <w:szCs w:val="20"/>
          <w:lang w:val="en-US" w:eastAsia="zh-CN"/>
        </w:rPr>
        <w:t>3</w:t>
      </w:r>
      <w:r>
        <w:rPr>
          <w:rFonts w:hint="default" w:ascii="Times New Roman" w:hAnsi="Times New Roman" w:cs="Times New Roman"/>
          <w:kern w:val="2"/>
          <w:szCs w:val="20"/>
        </w:rPr>
        <w:t>年4月2</w:t>
      </w:r>
      <w:r>
        <w:rPr>
          <w:rFonts w:hint="default" w:ascii="Times New Roman" w:hAnsi="Times New Roman" w:cs="Times New Roman"/>
          <w:kern w:val="2"/>
          <w:szCs w:val="20"/>
          <w:lang w:val="en-US" w:eastAsia="zh-CN"/>
        </w:rPr>
        <w:t>5</w:t>
      </w:r>
      <w:r>
        <w:rPr>
          <w:rFonts w:hint="default" w:ascii="Times New Roman" w:hAnsi="Times New Roman" w:cs="Times New Roman"/>
          <w:kern w:val="2"/>
          <w:szCs w:val="20"/>
        </w:rPr>
        <w:t>日召开，审议通过了《关于确认2022年度日常关联交易金额和预计2023年度日常关联交易额度的议案》。董事会审议上述事项时，关联董事胡冬明、</w:t>
      </w:r>
      <w:r>
        <w:rPr>
          <w:rFonts w:hint="default" w:ascii="Times New Roman" w:hAnsi="Times New Roman" w:cs="Times New Roman"/>
          <w:kern w:val="2"/>
          <w:szCs w:val="20"/>
          <w:lang w:val="en-US" w:eastAsia="zh-CN"/>
        </w:rPr>
        <w:t>盛国福、陈新国</w:t>
      </w:r>
      <w:r>
        <w:rPr>
          <w:rFonts w:hint="default" w:ascii="Times New Roman" w:hAnsi="Times New Roman" w:cs="Times New Roman"/>
          <w:kern w:val="2"/>
          <w:szCs w:val="20"/>
        </w:rPr>
        <w:t>、</w:t>
      </w:r>
      <w:r>
        <w:rPr>
          <w:rFonts w:hint="default" w:ascii="Times New Roman" w:hAnsi="Times New Roman" w:cs="Times New Roman"/>
          <w:kern w:val="2"/>
          <w:szCs w:val="20"/>
          <w:lang w:val="en-US" w:eastAsia="zh-CN"/>
        </w:rPr>
        <w:t>文志涛、</w:t>
      </w:r>
      <w:r>
        <w:rPr>
          <w:rFonts w:hint="default" w:ascii="Times New Roman" w:hAnsi="Times New Roman" w:cs="Times New Roman"/>
          <w:kern w:val="2"/>
          <w:szCs w:val="20"/>
        </w:rPr>
        <w:t>吴明日、阎志刚进行了回避表决，其余3名董事一致同意该议案，符合《公司章程》及有关规定。独立董事对上述议案作了事前认可并发表了独立意见。</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根据日常经营需要，2023年度，公司预计在中广核财务有限责任公司每日最高存款限额为300,000万元，预计存款利率范围为0.25%-0.90%；预计贷款额度为340,000万元，预计贷款利率范围为3%-3.5%；预计授信额度为100,000万元。日常关联交易预计总额为33,692.09万</w:t>
      </w:r>
      <w:r>
        <w:rPr>
          <w:rFonts w:hint="eastAsia" w:ascii="Times New Roman" w:hAnsi="Times New Roman" w:cs="Times New Roman"/>
          <w:kern w:val="2"/>
          <w:szCs w:val="20"/>
          <w:lang w:val="en-US" w:eastAsia="zh-CN"/>
        </w:rPr>
        <w:t>元</w:t>
      </w:r>
      <w:r>
        <w:rPr>
          <w:rFonts w:hint="default" w:ascii="Times New Roman" w:hAnsi="Times New Roman" w:cs="Times New Roman"/>
          <w:kern w:val="2"/>
          <w:szCs w:val="20"/>
        </w:rPr>
        <w:t>，其中向关联人采购产品6,551.11万元，销售产品、商品16,171.9</w:t>
      </w:r>
      <w:r>
        <w:rPr>
          <w:rFonts w:hint="eastAsia" w:ascii="Times New Roman" w:hAnsi="Times New Roman" w:cs="Times New Roman"/>
          <w:kern w:val="2"/>
          <w:szCs w:val="20"/>
          <w:lang w:val="en-US" w:eastAsia="zh-CN"/>
        </w:rPr>
        <w:t>0</w:t>
      </w:r>
      <w:r>
        <w:rPr>
          <w:rFonts w:hint="default" w:ascii="Times New Roman" w:hAnsi="Times New Roman" w:cs="Times New Roman"/>
          <w:kern w:val="2"/>
          <w:szCs w:val="20"/>
        </w:rPr>
        <w:t>万元，提供劳务3,552.21万元，接受劳务6,522.9</w:t>
      </w:r>
      <w:r>
        <w:rPr>
          <w:rFonts w:hint="eastAsia" w:ascii="Times New Roman" w:hAnsi="Times New Roman" w:cs="Times New Roman"/>
          <w:kern w:val="2"/>
          <w:szCs w:val="20"/>
          <w:lang w:val="en-US" w:eastAsia="zh-CN"/>
        </w:rPr>
        <w:t>0</w:t>
      </w:r>
      <w:bookmarkStart w:id="0" w:name="_GoBack"/>
      <w:bookmarkEnd w:id="0"/>
      <w:r>
        <w:rPr>
          <w:rFonts w:hint="default" w:ascii="Times New Roman" w:hAnsi="Times New Roman" w:cs="Times New Roman"/>
          <w:kern w:val="2"/>
          <w:szCs w:val="20"/>
        </w:rPr>
        <w:t>万元，提供及接受租赁、物业费等893.97万元。</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根据</w:t>
      </w:r>
      <w:r>
        <w:rPr>
          <w:rFonts w:hint="eastAsia" w:ascii="Times New Roman" w:hAnsi="Times New Roman" w:cs="Times New Roman"/>
          <w:kern w:val="2"/>
          <w:szCs w:val="20"/>
          <w:lang w:eastAsia="zh-CN"/>
        </w:rPr>
        <w:t>《</w:t>
      </w:r>
      <w:r>
        <w:rPr>
          <w:rFonts w:hint="default" w:ascii="Times New Roman" w:hAnsi="Times New Roman" w:cs="Times New Roman"/>
          <w:kern w:val="2"/>
          <w:szCs w:val="20"/>
        </w:rPr>
        <w:t>公司章程</w:t>
      </w:r>
      <w:r>
        <w:rPr>
          <w:rFonts w:hint="eastAsia" w:ascii="Times New Roman" w:hAnsi="Times New Roman" w:cs="Times New Roman"/>
          <w:kern w:val="2"/>
          <w:szCs w:val="20"/>
          <w:lang w:eastAsia="zh-CN"/>
        </w:rPr>
        <w:t>》</w:t>
      </w:r>
      <w:r>
        <w:rPr>
          <w:rFonts w:hint="default" w:ascii="Times New Roman" w:hAnsi="Times New Roman" w:cs="Times New Roman"/>
          <w:kern w:val="2"/>
          <w:szCs w:val="20"/>
        </w:rPr>
        <w:t>及《深圳证券交易所股票上市规则》的规定，本议案尚需提交股东大会审议，关联股东中广核核技术应用有限公司及其一致行动人、中国大连国际经济技术合作集团有限公司需回避表决。</w:t>
      </w: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rPr>
        <w:t>（二）202</w:t>
      </w:r>
      <w:r>
        <w:rPr>
          <w:rFonts w:hint="default" w:ascii="Times New Roman" w:hAnsi="Times New Roman" w:cs="Times New Roman"/>
          <w:b/>
          <w:sz w:val="24"/>
          <w:lang w:val="en-US" w:eastAsia="zh-CN"/>
        </w:rPr>
        <w:t>3</w:t>
      </w:r>
      <w:r>
        <w:rPr>
          <w:rFonts w:hint="default" w:ascii="Times New Roman" w:hAnsi="Times New Roman" w:cs="Times New Roman"/>
          <w:b/>
          <w:sz w:val="24"/>
        </w:rPr>
        <w:t>年度日常关联交易额度预计总体情况</w:t>
      </w:r>
    </w:p>
    <w:p>
      <w:pPr>
        <w:pStyle w:val="21"/>
        <w:adjustRightInd w:val="0"/>
        <w:snapToGrid w:val="0"/>
        <w:spacing w:line="360" w:lineRule="auto"/>
        <w:ind w:firstLine="482"/>
        <w:outlineLvl w:val="1"/>
        <w:rPr>
          <w:rFonts w:hint="default" w:ascii="Times New Roman" w:hAnsi="Times New Roman" w:cs="Times New Roman"/>
          <w:b/>
          <w:sz w:val="24"/>
          <w:lang w:val="en-US" w:eastAsia="zh-CN"/>
        </w:rPr>
      </w:pPr>
      <w:r>
        <w:rPr>
          <w:rFonts w:hint="default" w:ascii="Times New Roman" w:hAnsi="Times New Roman" w:cs="Times New Roman"/>
          <w:b/>
          <w:sz w:val="24"/>
          <w:lang w:val="en-US" w:eastAsia="zh-CN"/>
        </w:rPr>
        <w:t>1、2023年度金融服务业务预计情况</w:t>
      </w:r>
    </w:p>
    <w:p>
      <w:pPr>
        <w:tabs>
          <w:tab w:val="left" w:pos="720"/>
        </w:tabs>
        <w:spacing w:line="360" w:lineRule="auto"/>
        <w:ind w:firstLine="360" w:firstLineChars="200"/>
        <w:jc w:val="right"/>
        <w:rPr>
          <w:rFonts w:hint="default" w:ascii="Times New Roman" w:hAnsi="Times New Roman" w:cs="Times New Roman"/>
          <w:color w:val="000000"/>
          <w:kern w:val="0"/>
          <w:sz w:val="18"/>
          <w:szCs w:val="18"/>
        </w:rPr>
      </w:pPr>
      <w:r>
        <w:rPr>
          <w:rFonts w:hint="default" w:ascii="Times New Roman" w:hAnsi="Times New Roman" w:cs="Times New Roman"/>
          <w:color w:val="000000"/>
          <w:kern w:val="0"/>
          <w:sz w:val="18"/>
          <w:szCs w:val="18"/>
        </w:rPr>
        <w:t>单位：万元</w:t>
      </w:r>
    </w:p>
    <w:tbl>
      <w:tblPr>
        <w:tblStyle w:val="8"/>
        <w:tblW w:w="862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784"/>
        <w:gridCol w:w="2310"/>
        <w:gridCol w:w="2505"/>
        <w:gridCol w:w="20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tblHeader/>
          <w:jc w:val="center"/>
        </w:trPr>
        <w:tc>
          <w:tcPr>
            <w:tcW w:w="1784"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color w:val="auto"/>
                <w:sz w:val="18"/>
                <w:szCs w:val="18"/>
              </w:rPr>
            </w:pPr>
            <w:r>
              <w:rPr>
                <w:rFonts w:hint="default" w:ascii="Times New Roman" w:hAnsi="Times New Roman" w:cs="Times New Roman"/>
                <w:b/>
                <w:color w:val="auto"/>
                <w:kern w:val="24"/>
                <w:sz w:val="18"/>
                <w:szCs w:val="18"/>
              </w:rPr>
              <w:t>关联交易类别</w:t>
            </w:r>
          </w:p>
        </w:tc>
        <w:tc>
          <w:tcPr>
            <w:tcW w:w="2310" w:type="dxa"/>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cs="Times New Roman"/>
                <w:b/>
                <w:bCs/>
                <w:color w:val="auto"/>
                <w:sz w:val="18"/>
                <w:szCs w:val="18"/>
              </w:rPr>
            </w:pPr>
            <w:r>
              <w:rPr>
                <w:rFonts w:hint="default" w:ascii="Times New Roman" w:hAnsi="Times New Roman" w:eastAsia="宋体" w:cs="Times New Roman"/>
                <w:b/>
                <w:bCs/>
                <w:color w:val="auto"/>
                <w:sz w:val="18"/>
                <w:szCs w:val="18"/>
              </w:rPr>
              <w:t>关联人</w:t>
            </w:r>
          </w:p>
        </w:tc>
        <w:tc>
          <w:tcPr>
            <w:tcW w:w="2505" w:type="dxa"/>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cs="Times New Roman"/>
                <w:b/>
                <w:bCs/>
                <w:color w:val="auto"/>
                <w:sz w:val="18"/>
                <w:szCs w:val="18"/>
              </w:rPr>
            </w:pPr>
            <w:r>
              <w:rPr>
                <w:rFonts w:hint="default" w:ascii="Times New Roman" w:hAnsi="Times New Roman" w:eastAsia="宋体" w:cs="Times New Roman"/>
                <w:b/>
                <w:bCs/>
                <w:color w:val="auto"/>
                <w:sz w:val="18"/>
                <w:szCs w:val="18"/>
              </w:rPr>
              <w:t>202</w:t>
            </w:r>
            <w:r>
              <w:rPr>
                <w:rFonts w:hint="default" w:ascii="Times New Roman" w:hAnsi="Times New Roman" w:cs="Times New Roman"/>
                <w:b/>
                <w:bCs/>
                <w:color w:val="auto"/>
                <w:sz w:val="18"/>
                <w:szCs w:val="18"/>
                <w:lang w:val="en-US" w:eastAsia="zh-CN"/>
              </w:rPr>
              <w:t>3</w:t>
            </w:r>
            <w:r>
              <w:rPr>
                <w:rFonts w:hint="default" w:ascii="Times New Roman" w:hAnsi="Times New Roman" w:eastAsia="宋体" w:cs="Times New Roman"/>
                <w:b/>
                <w:bCs/>
                <w:color w:val="auto"/>
                <w:sz w:val="18"/>
                <w:szCs w:val="18"/>
              </w:rPr>
              <w:t>年预计每日最高存款限额（万元）</w:t>
            </w:r>
          </w:p>
        </w:tc>
        <w:tc>
          <w:tcPr>
            <w:tcW w:w="2022" w:type="dxa"/>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cs="Times New Roman"/>
                <w:b/>
                <w:bCs/>
                <w:color w:val="auto"/>
                <w:kern w:val="24"/>
                <w:sz w:val="18"/>
                <w:szCs w:val="18"/>
              </w:rPr>
            </w:pPr>
            <w:r>
              <w:rPr>
                <w:rFonts w:hint="default" w:ascii="Times New Roman" w:hAnsi="Times New Roman" w:eastAsia="宋体" w:cs="Times New Roman"/>
                <w:b/>
                <w:bCs/>
                <w:color w:val="auto"/>
                <w:sz w:val="18"/>
                <w:szCs w:val="18"/>
              </w:rPr>
              <w:t>202</w:t>
            </w:r>
            <w:r>
              <w:rPr>
                <w:rFonts w:hint="default" w:ascii="Times New Roman" w:hAnsi="Times New Roman" w:cs="Times New Roman"/>
                <w:b/>
                <w:bCs/>
                <w:color w:val="auto"/>
                <w:sz w:val="18"/>
                <w:szCs w:val="18"/>
                <w:lang w:val="en-US" w:eastAsia="zh-CN"/>
              </w:rPr>
              <w:t>3</w:t>
            </w:r>
            <w:r>
              <w:rPr>
                <w:rFonts w:hint="default" w:ascii="Times New Roman" w:hAnsi="Times New Roman" w:eastAsia="宋体" w:cs="Times New Roman"/>
                <w:b/>
                <w:bCs/>
                <w:color w:val="auto"/>
                <w:sz w:val="18"/>
                <w:szCs w:val="18"/>
              </w:rPr>
              <w:t>年预计存款利率范围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0" w:hRule="atLeast"/>
          <w:jc w:val="center"/>
        </w:trPr>
        <w:tc>
          <w:tcPr>
            <w:tcW w:w="1784" w:type="dxa"/>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存款</w:t>
            </w:r>
          </w:p>
        </w:tc>
        <w:tc>
          <w:tcPr>
            <w:tcW w:w="2310"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cs="Times New Roman"/>
                <w:color w:val="auto"/>
                <w:kern w:val="24"/>
                <w:sz w:val="18"/>
                <w:szCs w:val="18"/>
              </w:rPr>
            </w:pPr>
            <w:r>
              <w:rPr>
                <w:rFonts w:hint="default" w:ascii="Times New Roman" w:hAnsi="Times New Roman" w:eastAsia="宋体" w:cs="Times New Roman"/>
                <w:color w:val="auto"/>
                <w:sz w:val="18"/>
                <w:szCs w:val="18"/>
              </w:rPr>
              <w:t>中广核财务有限责任公司</w:t>
            </w:r>
          </w:p>
        </w:tc>
        <w:tc>
          <w:tcPr>
            <w:tcW w:w="2505"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300,000</w:t>
            </w:r>
          </w:p>
        </w:tc>
        <w:tc>
          <w:tcPr>
            <w:tcW w:w="2022"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0.25%-0.90%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3" w:hRule="atLeast"/>
          <w:jc w:val="center"/>
        </w:trPr>
        <w:tc>
          <w:tcPr>
            <w:tcW w:w="1784" w:type="dxa"/>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关联交易类别</w:t>
            </w:r>
          </w:p>
        </w:tc>
        <w:tc>
          <w:tcPr>
            <w:tcW w:w="2310" w:type="dxa"/>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cs="Times New Roman"/>
                <w:b/>
                <w:bCs/>
                <w:color w:val="auto"/>
                <w:kern w:val="24"/>
                <w:sz w:val="18"/>
                <w:szCs w:val="18"/>
              </w:rPr>
            </w:pPr>
            <w:r>
              <w:rPr>
                <w:rFonts w:hint="default" w:ascii="Times New Roman" w:hAnsi="Times New Roman" w:eastAsia="宋体" w:cs="Times New Roman"/>
                <w:b/>
                <w:bCs/>
                <w:color w:val="auto"/>
                <w:sz w:val="18"/>
                <w:szCs w:val="18"/>
              </w:rPr>
              <w:t>关联人</w:t>
            </w:r>
          </w:p>
        </w:tc>
        <w:tc>
          <w:tcPr>
            <w:tcW w:w="2505" w:type="dxa"/>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cs="Times New Roman"/>
                <w:b/>
                <w:bCs/>
                <w:color w:val="auto"/>
                <w:kern w:val="24"/>
                <w:sz w:val="18"/>
                <w:szCs w:val="18"/>
              </w:rPr>
            </w:pPr>
            <w:r>
              <w:rPr>
                <w:rFonts w:hint="default" w:ascii="Times New Roman" w:hAnsi="Times New Roman" w:eastAsia="宋体" w:cs="Times New Roman"/>
                <w:b/>
                <w:bCs/>
                <w:color w:val="auto"/>
                <w:sz w:val="18"/>
                <w:szCs w:val="18"/>
              </w:rPr>
              <w:t>202</w:t>
            </w:r>
            <w:r>
              <w:rPr>
                <w:rFonts w:hint="default" w:ascii="Times New Roman" w:hAnsi="Times New Roman" w:cs="Times New Roman"/>
                <w:b/>
                <w:bCs/>
                <w:color w:val="auto"/>
                <w:sz w:val="18"/>
                <w:szCs w:val="18"/>
                <w:lang w:val="en-US" w:eastAsia="zh-CN"/>
              </w:rPr>
              <w:t>3</w:t>
            </w:r>
            <w:r>
              <w:rPr>
                <w:rFonts w:hint="default" w:ascii="Times New Roman" w:hAnsi="Times New Roman" w:eastAsia="宋体" w:cs="Times New Roman"/>
                <w:b/>
                <w:bCs/>
                <w:color w:val="auto"/>
                <w:sz w:val="18"/>
                <w:szCs w:val="18"/>
              </w:rPr>
              <w:t>年预计贷款额度（万元）</w:t>
            </w:r>
          </w:p>
        </w:tc>
        <w:tc>
          <w:tcPr>
            <w:tcW w:w="2022" w:type="dxa"/>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cs="Times New Roman"/>
                <w:b/>
                <w:bCs/>
                <w:color w:val="auto"/>
                <w:kern w:val="24"/>
                <w:sz w:val="18"/>
                <w:szCs w:val="18"/>
              </w:rPr>
            </w:pPr>
            <w:r>
              <w:rPr>
                <w:rFonts w:hint="default" w:ascii="Times New Roman" w:hAnsi="Times New Roman" w:eastAsia="宋体" w:cs="Times New Roman"/>
                <w:b/>
                <w:bCs/>
                <w:color w:val="auto"/>
                <w:sz w:val="18"/>
                <w:szCs w:val="18"/>
              </w:rPr>
              <w:t>202</w:t>
            </w:r>
            <w:r>
              <w:rPr>
                <w:rFonts w:hint="default" w:ascii="Times New Roman" w:hAnsi="Times New Roman" w:cs="Times New Roman"/>
                <w:b/>
                <w:bCs/>
                <w:color w:val="auto"/>
                <w:sz w:val="18"/>
                <w:szCs w:val="18"/>
                <w:lang w:val="en-US" w:eastAsia="zh-CN"/>
              </w:rPr>
              <w:t>3</w:t>
            </w:r>
            <w:r>
              <w:rPr>
                <w:rFonts w:hint="default" w:ascii="Times New Roman" w:hAnsi="Times New Roman" w:eastAsia="宋体" w:cs="Times New Roman"/>
                <w:b/>
                <w:bCs/>
                <w:color w:val="auto"/>
                <w:sz w:val="18"/>
                <w:szCs w:val="18"/>
              </w:rPr>
              <w:t>年预计贷款利率范围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4" w:hRule="atLeast"/>
          <w:jc w:val="center"/>
        </w:trPr>
        <w:tc>
          <w:tcPr>
            <w:tcW w:w="1784" w:type="dxa"/>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贷款</w:t>
            </w:r>
          </w:p>
        </w:tc>
        <w:tc>
          <w:tcPr>
            <w:tcW w:w="2310"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cs="Times New Roman"/>
                <w:color w:val="auto"/>
                <w:sz w:val="18"/>
                <w:szCs w:val="18"/>
              </w:rPr>
            </w:pPr>
            <w:r>
              <w:rPr>
                <w:rFonts w:hint="default" w:ascii="Times New Roman" w:hAnsi="Times New Roman" w:eastAsia="宋体" w:cs="Times New Roman"/>
                <w:color w:val="auto"/>
                <w:sz w:val="18"/>
                <w:szCs w:val="18"/>
              </w:rPr>
              <w:t>中广核财务有限责任公司</w:t>
            </w:r>
          </w:p>
        </w:tc>
        <w:tc>
          <w:tcPr>
            <w:tcW w:w="2505"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340,000</w:t>
            </w:r>
          </w:p>
        </w:tc>
        <w:tc>
          <w:tcPr>
            <w:tcW w:w="2022"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　3%-3.5%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4" w:hRule="atLeast"/>
          <w:jc w:val="center"/>
        </w:trPr>
        <w:tc>
          <w:tcPr>
            <w:tcW w:w="1784" w:type="dxa"/>
            <w:shd w:val="clear" w:color="auto" w:fill="D7D7D7" w:themeFill="background1" w:themeFillShade="D8"/>
            <w:vAlign w:val="center"/>
          </w:tcPr>
          <w:p>
            <w:pPr>
              <w:pStyle w:val="6"/>
              <w:keepNext w:val="0"/>
              <w:keepLines w:val="0"/>
              <w:widowControl/>
              <w:suppressLineNumbers w:val="0"/>
              <w:ind w:left="0" w:leftChars="0" w:right="0" w:rightChars="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关联交易类别</w:t>
            </w:r>
          </w:p>
        </w:tc>
        <w:tc>
          <w:tcPr>
            <w:tcW w:w="2310" w:type="dxa"/>
            <w:shd w:val="clear" w:color="auto" w:fill="D7D7D7" w:themeFill="background1" w:themeFillShade="D8"/>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auto"/>
                <w:sz w:val="18"/>
                <w:szCs w:val="18"/>
                <w:lang w:val="en-US" w:eastAsia="zh-CN"/>
              </w:rPr>
            </w:pPr>
            <w:r>
              <w:rPr>
                <w:rFonts w:hint="default" w:ascii="Times New Roman" w:hAnsi="Times New Roman" w:eastAsia="宋体" w:cs="Times New Roman"/>
                <w:b/>
                <w:bCs/>
                <w:color w:val="auto"/>
                <w:sz w:val="18"/>
                <w:szCs w:val="18"/>
              </w:rPr>
              <w:t>关联人</w:t>
            </w:r>
          </w:p>
        </w:tc>
        <w:tc>
          <w:tcPr>
            <w:tcW w:w="4527" w:type="dxa"/>
            <w:gridSpan w:val="2"/>
            <w:shd w:val="clear" w:color="auto" w:fill="D7D7D7" w:themeFill="background1" w:themeFillShade="D8"/>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bCs/>
                <w:color w:val="auto"/>
                <w:sz w:val="18"/>
                <w:szCs w:val="18"/>
              </w:rPr>
              <w:t>202</w:t>
            </w:r>
            <w:r>
              <w:rPr>
                <w:rFonts w:hint="default" w:ascii="Times New Roman" w:hAnsi="Times New Roman" w:cs="Times New Roman"/>
                <w:b/>
                <w:bCs/>
                <w:color w:val="auto"/>
                <w:sz w:val="18"/>
                <w:szCs w:val="18"/>
                <w:lang w:val="en-US" w:eastAsia="zh-CN"/>
              </w:rPr>
              <w:t>3</w:t>
            </w:r>
            <w:r>
              <w:rPr>
                <w:rFonts w:hint="default" w:ascii="Times New Roman" w:hAnsi="Times New Roman" w:eastAsia="宋体" w:cs="Times New Roman"/>
                <w:b/>
                <w:bCs/>
                <w:color w:val="auto"/>
                <w:sz w:val="18"/>
                <w:szCs w:val="18"/>
              </w:rPr>
              <w:t>年预计</w:t>
            </w:r>
            <w:r>
              <w:rPr>
                <w:rFonts w:hint="default" w:ascii="Times New Roman" w:hAnsi="Times New Roman" w:eastAsia="宋体" w:cs="Times New Roman"/>
                <w:b/>
                <w:bCs/>
                <w:color w:val="auto"/>
                <w:sz w:val="18"/>
                <w:szCs w:val="18"/>
                <w:lang w:val="en-US" w:eastAsia="zh-CN"/>
              </w:rPr>
              <w:t>授信</w:t>
            </w:r>
            <w:r>
              <w:rPr>
                <w:rFonts w:hint="default" w:ascii="Times New Roman" w:hAnsi="Times New Roman" w:eastAsia="宋体" w:cs="Times New Roman"/>
                <w:b/>
                <w:bCs/>
                <w:color w:val="auto"/>
                <w:sz w:val="18"/>
                <w:szCs w:val="18"/>
              </w:rPr>
              <w:t>额度（万元）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1784" w:type="dxa"/>
            <w:shd w:val="clear" w:color="auto" w:fill="D8D8D8" w:themeFill="background1" w:themeFillShade="D9"/>
            <w:vAlign w:val="center"/>
          </w:tcPr>
          <w:p>
            <w:pPr>
              <w:pStyle w:val="6"/>
              <w:keepNext w:val="0"/>
              <w:keepLines w:val="0"/>
              <w:widowControl/>
              <w:suppressLineNumbers w:val="0"/>
              <w:ind w:left="0" w:leftChars="0" w:right="0" w:rightChars="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cs="Times New Roman"/>
                <w:b/>
                <w:color w:val="auto"/>
                <w:kern w:val="24"/>
                <w:sz w:val="18"/>
                <w:szCs w:val="18"/>
                <w:lang w:val="en-US" w:eastAsia="zh-CN" w:bidi="ar-SA"/>
              </w:rPr>
              <w:t>授信</w:t>
            </w:r>
          </w:p>
        </w:tc>
        <w:tc>
          <w:tcPr>
            <w:tcW w:w="2310" w:type="dxa"/>
            <w:shd w:val="clear" w:color="auto" w:fill="auto"/>
            <w:tcMar>
              <w:top w:w="13" w:type="dxa"/>
              <w:left w:w="13" w:type="dxa"/>
              <w:bottom w:w="0" w:type="dxa"/>
              <w:right w:w="13" w:type="dxa"/>
            </w:tcMar>
            <w:vAlign w:val="center"/>
          </w:tcPr>
          <w:p>
            <w:pPr>
              <w:pStyle w:val="6"/>
              <w:keepNext w:val="0"/>
              <w:keepLines w:val="0"/>
              <w:widowControl/>
              <w:suppressLineNumbers w:val="0"/>
              <w:ind w:left="0" w:leftChars="0" w:right="0" w:rightChars="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中广核财务有限责任公司</w:t>
            </w:r>
          </w:p>
        </w:tc>
        <w:tc>
          <w:tcPr>
            <w:tcW w:w="4527" w:type="dxa"/>
            <w:gridSpan w:val="2"/>
            <w:shd w:val="clear" w:color="auto" w:fill="auto"/>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color w:val="auto"/>
                <w:sz w:val="18"/>
                <w:szCs w:val="18"/>
              </w:rPr>
            </w:pPr>
            <w:r>
              <w:rPr>
                <w:rFonts w:hint="default" w:ascii="Times New Roman" w:hAnsi="Times New Roman" w:cs="Times New Roman"/>
                <w:color w:val="auto"/>
                <w:sz w:val="18"/>
                <w:szCs w:val="18"/>
                <w:lang w:val="en-US" w:eastAsia="zh-CN"/>
              </w:rPr>
              <w:t>10</w:t>
            </w:r>
            <w:r>
              <w:rPr>
                <w:rFonts w:hint="default" w:ascii="Times New Roman" w:hAnsi="Times New Roman" w:eastAsia="宋体" w:cs="Times New Roman"/>
                <w:color w:val="auto"/>
                <w:sz w:val="18"/>
                <w:szCs w:val="18"/>
              </w:rPr>
              <w:t>0,000</w:t>
            </w:r>
          </w:p>
        </w:tc>
      </w:tr>
    </w:tbl>
    <w:p>
      <w:pPr>
        <w:pStyle w:val="21"/>
        <w:adjustRightInd w:val="0"/>
        <w:snapToGrid w:val="0"/>
        <w:spacing w:line="360" w:lineRule="auto"/>
        <w:ind w:firstLine="482"/>
        <w:outlineLvl w:val="1"/>
        <w:rPr>
          <w:rFonts w:hint="default" w:ascii="Times New Roman" w:hAnsi="Times New Roman" w:cs="Times New Roman"/>
          <w:b/>
          <w:sz w:val="24"/>
          <w:lang w:val="en-US" w:eastAsia="zh-CN"/>
        </w:rPr>
      </w:pP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lang w:val="en-US" w:eastAsia="zh-CN"/>
        </w:rPr>
        <w:t>2、</w:t>
      </w:r>
      <w:r>
        <w:rPr>
          <w:rFonts w:hint="default" w:ascii="Times New Roman" w:hAnsi="Times New Roman" w:cs="Times New Roman"/>
          <w:b/>
          <w:sz w:val="24"/>
        </w:rPr>
        <w:t>202</w:t>
      </w:r>
      <w:r>
        <w:rPr>
          <w:rFonts w:hint="default" w:ascii="Times New Roman" w:hAnsi="Times New Roman" w:cs="Times New Roman"/>
          <w:b/>
          <w:sz w:val="24"/>
          <w:lang w:val="en-US" w:eastAsia="zh-CN"/>
        </w:rPr>
        <w:t>3</w:t>
      </w:r>
      <w:r>
        <w:rPr>
          <w:rFonts w:hint="default" w:ascii="Times New Roman" w:hAnsi="Times New Roman" w:cs="Times New Roman"/>
          <w:b/>
          <w:sz w:val="24"/>
        </w:rPr>
        <w:t>年度</w:t>
      </w:r>
      <w:r>
        <w:rPr>
          <w:rFonts w:hint="default" w:ascii="Times New Roman" w:hAnsi="Times New Roman" w:cs="Times New Roman"/>
          <w:b/>
          <w:sz w:val="24"/>
          <w:lang w:eastAsia="zh-CN"/>
        </w:rPr>
        <w:t>除金融服务以外</w:t>
      </w:r>
      <w:r>
        <w:rPr>
          <w:rFonts w:hint="default" w:ascii="Times New Roman" w:hAnsi="Times New Roman" w:cs="Times New Roman"/>
          <w:b/>
          <w:sz w:val="24"/>
          <w:lang w:val="en-US" w:eastAsia="zh-CN"/>
        </w:rPr>
        <w:t>的</w:t>
      </w:r>
      <w:r>
        <w:rPr>
          <w:rFonts w:hint="default" w:ascii="Times New Roman" w:hAnsi="Times New Roman" w:cs="Times New Roman"/>
          <w:b/>
          <w:sz w:val="24"/>
        </w:rPr>
        <w:t>日常关联交易预计金额和类别</w:t>
      </w:r>
    </w:p>
    <w:p>
      <w:pPr>
        <w:adjustRightInd w:val="0"/>
        <w:snapToGrid w:val="0"/>
        <w:jc w:val="right"/>
        <w:rPr>
          <w:rFonts w:hint="default" w:ascii="Times New Roman" w:hAnsi="Times New Roman" w:cs="Times New Roman"/>
          <w:kern w:val="2"/>
          <w:sz w:val="18"/>
          <w:szCs w:val="18"/>
        </w:rPr>
      </w:pPr>
      <w:r>
        <w:rPr>
          <w:rFonts w:hint="default" w:ascii="Times New Roman" w:hAnsi="Times New Roman" w:cs="Times New Roman"/>
          <w:kern w:val="2"/>
          <w:sz w:val="18"/>
          <w:szCs w:val="18"/>
        </w:rPr>
        <w:t>单位：万元</w:t>
      </w:r>
    </w:p>
    <w:tbl>
      <w:tblPr>
        <w:tblStyle w:val="8"/>
        <w:tblW w:w="86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18"/>
        <w:gridCol w:w="1795"/>
        <w:gridCol w:w="2127"/>
        <w:gridCol w:w="898"/>
        <w:gridCol w:w="1134"/>
        <w:gridCol w:w="1086"/>
        <w:gridCol w:w="8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tblHeader/>
          <w:jc w:val="center"/>
        </w:trPr>
        <w:tc>
          <w:tcPr>
            <w:tcW w:w="818"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关联交易类别</w:t>
            </w:r>
          </w:p>
        </w:tc>
        <w:tc>
          <w:tcPr>
            <w:tcW w:w="1795" w:type="dxa"/>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关联人</w:t>
            </w:r>
          </w:p>
        </w:tc>
        <w:tc>
          <w:tcPr>
            <w:tcW w:w="2127" w:type="dxa"/>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关联交易内容</w:t>
            </w:r>
          </w:p>
        </w:tc>
        <w:tc>
          <w:tcPr>
            <w:tcW w:w="898"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关联交易定价原则</w:t>
            </w:r>
          </w:p>
        </w:tc>
        <w:tc>
          <w:tcPr>
            <w:tcW w:w="1134" w:type="dxa"/>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合同签订金额或预计金额</w:t>
            </w:r>
          </w:p>
        </w:tc>
        <w:tc>
          <w:tcPr>
            <w:tcW w:w="1086"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截至披露日已发生金额</w:t>
            </w:r>
          </w:p>
        </w:tc>
        <w:tc>
          <w:tcPr>
            <w:tcW w:w="835" w:type="dxa"/>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highlight w:val="none"/>
              </w:rPr>
              <w:t>上年发生金额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9" w:hRule="atLeast"/>
          <w:jc w:val="center"/>
        </w:trPr>
        <w:tc>
          <w:tcPr>
            <w:tcW w:w="818" w:type="dxa"/>
            <w:vMerge w:val="restart"/>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向关联人采购原材料、商品及燃料和动力</w:t>
            </w:r>
          </w:p>
        </w:tc>
        <w:tc>
          <w:tcPr>
            <w:tcW w:w="1795"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lang w:eastAsia="zh-CN"/>
              </w:rPr>
              <w:t>中国广核集团有限公司及其下属子公司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kern w:val="24"/>
                <w:sz w:val="18"/>
                <w:szCs w:val="18"/>
              </w:rPr>
              <w:t>向关联人采购产品、商品</w:t>
            </w:r>
          </w:p>
        </w:tc>
        <w:tc>
          <w:tcPr>
            <w:tcW w:w="898" w:type="dxa"/>
            <w:shd w:val="clear" w:color="auto" w:fill="auto"/>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 xml:space="preserve">6,551.11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b w:val="0"/>
                <w:bCs w:val="0"/>
                <w:sz w:val="18"/>
                <w:szCs w:val="18"/>
                <w:lang w:val="en-US" w:eastAsia="zh-CN"/>
              </w:rPr>
              <w:t>98.65</w:t>
            </w:r>
            <w:r>
              <w:rPr>
                <w:rFonts w:hint="default" w:ascii="Times New Roman" w:hAnsi="Times New Roman" w:cs="Times New Roman"/>
                <w:sz w:val="18"/>
                <w:szCs w:val="18"/>
                <w:lang w:val="en-US" w:eastAsia="zh-CN"/>
              </w:rPr>
              <w:t xml:space="preserve"> </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eastAsia="zh-CN"/>
              </w:rPr>
            </w:pPr>
            <w:r>
              <w:rPr>
                <w:rFonts w:hint="default" w:ascii="Times New Roman" w:hAnsi="Times New Roman" w:cs="Times New Roman"/>
                <w:sz w:val="18"/>
                <w:szCs w:val="18"/>
                <w:lang w:val="en-US" w:eastAsia="zh-CN"/>
              </w:rPr>
              <w:t xml:space="preserve">111.45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51"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4820" w:type="dxa"/>
            <w:gridSpan w:val="3"/>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小计</w:t>
            </w:r>
          </w:p>
        </w:tc>
        <w:tc>
          <w:tcPr>
            <w:tcW w:w="1134"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eastAsia="zh-CN"/>
              </w:rPr>
            </w:pPr>
            <w:r>
              <w:rPr>
                <w:rFonts w:hint="default" w:ascii="Times New Roman" w:hAnsi="Times New Roman" w:cs="Times New Roman"/>
                <w:b/>
                <w:bCs/>
                <w:sz w:val="18"/>
                <w:szCs w:val="18"/>
                <w:lang w:val="en-US" w:eastAsia="zh-CN"/>
              </w:rPr>
              <w:t xml:space="preserve">6,551.11 </w:t>
            </w:r>
          </w:p>
        </w:tc>
        <w:tc>
          <w:tcPr>
            <w:tcW w:w="1086"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eastAsia="zh-CN"/>
              </w:rPr>
            </w:pPr>
            <w:r>
              <w:rPr>
                <w:rFonts w:hint="default" w:ascii="Times New Roman" w:hAnsi="Times New Roman" w:cs="Times New Roman"/>
                <w:b/>
                <w:bCs/>
                <w:sz w:val="18"/>
                <w:szCs w:val="18"/>
                <w:lang w:val="en-US" w:eastAsia="zh-CN"/>
              </w:rPr>
              <w:t xml:space="preserve">98.65 </w:t>
            </w:r>
          </w:p>
        </w:tc>
        <w:tc>
          <w:tcPr>
            <w:tcW w:w="835"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eastAsia="zh-CN"/>
              </w:rPr>
            </w:pPr>
            <w:r>
              <w:rPr>
                <w:rFonts w:hint="default" w:ascii="Times New Roman" w:hAnsi="Times New Roman" w:cs="Times New Roman"/>
                <w:b/>
                <w:bCs/>
                <w:sz w:val="18"/>
                <w:szCs w:val="18"/>
                <w:lang w:val="en-US" w:eastAsia="zh-CN"/>
              </w:rPr>
              <w:t xml:space="preserve">111.45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restart"/>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both"/>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接受关联人提供的劳务</w:t>
            </w:r>
          </w:p>
        </w:tc>
        <w:tc>
          <w:tcPr>
            <w:tcW w:w="1795"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lang w:eastAsia="zh-CN"/>
              </w:rPr>
              <w:t>中国广核集团有限公司及其下属子公司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18"/>
                <w:szCs w:val="18"/>
              </w:rPr>
            </w:pPr>
            <w:r>
              <w:rPr>
                <w:rFonts w:hint="default" w:ascii="Times New Roman" w:hAnsi="Times New Roman" w:cs="Times New Roman"/>
                <w:sz w:val="18"/>
                <w:szCs w:val="18"/>
              </w:rPr>
              <w:t>接受关联人提供的劳务</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 xml:space="preserve">4,815.90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b w:val="0"/>
                <w:bCs w:val="0"/>
                <w:sz w:val="18"/>
                <w:szCs w:val="18"/>
                <w:lang w:val="en-US" w:eastAsia="zh-CN"/>
              </w:rPr>
              <w:t>90.09</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3,713.94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both"/>
              <w:textAlignment w:val="bottom"/>
              <w:rPr>
                <w:rFonts w:hint="default" w:ascii="Times New Roman" w:hAnsi="Times New Roman" w:cs="Times New Roman"/>
                <w:b/>
                <w:kern w:val="24"/>
                <w:sz w:val="18"/>
                <w:szCs w:val="18"/>
              </w:rPr>
            </w:pPr>
          </w:p>
        </w:tc>
        <w:tc>
          <w:tcPr>
            <w:tcW w:w="1795"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lang w:eastAsia="zh-CN"/>
              </w:rPr>
              <w:t>中国大连国际经济技术合作集团有限公司及其下属子公司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rPr>
                <w:rFonts w:hint="default" w:ascii="Times New Roman" w:hAnsi="Times New Roman" w:cs="Times New Roman"/>
                <w:sz w:val="18"/>
                <w:szCs w:val="18"/>
              </w:rPr>
            </w:pPr>
            <w:r>
              <w:rPr>
                <w:rFonts w:hint="default" w:ascii="Times New Roman" w:hAnsi="Times New Roman" w:cs="Times New Roman"/>
                <w:sz w:val="18"/>
                <w:szCs w:val="18"/>
              </w:rPr>
              <w:t>接受关联人提供的劳务</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 xml:space="preserve">1,707.00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298.80</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2,606.48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4820" w:type="dxa"/>
            <w:gridSpan w:val="3"/>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小计</w:t>
            </w:r>
          </w:p>
        </w:tc>
        <w:tc>
          <w:tcPr>
            <w:tcW w:w="1134"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6,522.90 </w:t>
            </w:r>
          </w:p>
        </w:tc>
        <w:tc>
          <w:tcPr>
            <w:tcW w:w="1086"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388.89 </w:t>
            </w:r>
          </w:p>
        </w:tc>
        <w:tc>
          <w:tcPr>
            <w:tcW w:w="835"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6,320.42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818" w:type="dxa"/>
            <w:vMerge w:val="restar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sz w:val="18"/>
                <w:szCs w:val="18"/>
              </w:rPr>
              <w:t>向关联人销售产品、商品</w:t>
            </w:r>
          </w:p>
        </w:tc>
        <w:tc>
          <w:tcPr>
            <w:tcW w:w="1795"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lang w:eastAsia="zh-CN"/>
              </w:rPr>
              <w:t>中国广核集团有限公司及其下属子公司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rPr>
              <w:t>向关联人销售产品、商品</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 xml:space="preserve">2,691.40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125.60</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125.36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p>
        </w:tc>
        <w:tc>
          <w:tcPr>
            <w:tcW w:w="1795"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highlight w:val="none"/>
              </w:rPr>
            </w:pPr>
            <w:r>
              <w:rPr>
                <w:rFonts w:hint="default" w:ascii="Times New Roman" w:hAnsi="Times New Roman" w:cs="Times New Roman"/>
                <w:sz w:val="18"/>
                <w:szCs w:val="18"/>
                <w:highlight w:val="none"/>
                <w:lang w:eastAsia="zh-CN"/>
              </w:rPr>
              <w:t>中广核新能源投资（深圳）有限公司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highlight w:val="none"/>
              </w:rPr>
            </w:pPr>
            <w:r>
              <w:rPr>
                <w:rFonts w:hint="default" w:ascii="Times New Roman" w:hAnsi="Times New Roman" w:cs="Times New Roman"/>
                <w:sz w:val="18"/>
                <w:szCs w:val="18"/>
                <w:highlight w:val="none"/>
              </w:rPr>
              <w:t>向关联人销售产品、商品</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highlight w:val="none"/>
              </w:rPr>
            </w:pPr>
            <w:r>
              <w:rPr>
                <w:rFonts w:hint="default" w:ascii="Times New Roman" w:hAnsi="Times New Roman" w:cs="Times New Roman"/>
                <w:kern w:val="2"/>
                <w:sz w:val="18"/>
                <w:szCs w:val="18"/>
                <w:highlight w:val="none"/>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 xml:space="preserve">13,470.00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0</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1,440.44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p>
        </w:tc>
        <w:tc>
          <w:tcPr>
            <w:tcW w:w="1795"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lang w:eastAsia="zh-CN"/>
              </w:rPr>
              <w:t>中国大连国际经济技术合作集团有限公司及其下属子公司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rPr>
              <w:t>向关联人销售产品、商品</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10.5</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1.36</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7.7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4820" w:type="dxa"/>
            <w:gridSpan w:val="3"/>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小计</w:t>
            </w:r>
          </w:p>
        </w:tc>
        <w:tc>
          <w:tcPr>
            <w:tcW w:w="1134"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16,171.90 </w:t>
            </w:r>
          </w:p>
        </w:tc>
        <w:tc>
          <w:tcPr>
            <w:tcW w:w="1086"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126.96 </w:t>
            </w:r>
          </w:p>
        </w:tc>
        <w:tc>
          <w:tcPr>
            <w:tcW w:w="835"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1,573.50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restart"/>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both"/>
              <w:textAlignment w:val="bottom"/>
              <w:rPr>
                <w:rFonts w:hint="default" w:ascii="Times New Roman" w:hAnsi="Times New Roman" w:cs="Times New Roman"/>
                <w:b/>
                <w:sz w:val="18"/>
                <w:szCs w:val="18"/>
              </w:rPr>
            </w:pPr>
            <w:r>
              <w:rPr>
                <w:rFonts w:hint="default" w:ascii="Times New Roman" w:hAnsi="Times New Roman" w:cs="Times New Roman"/>
                <w:b/>
                <w:kern w:val="24"/>
                <w:sz w:val="18"/>
                <w:szCs w:val="18"/>
              </w:rPr>
              <w:t>向关联人提供劳务</w:t>
            </w:r>
          </w:p>
        </w:tc>
        <w:tc>
          <w:tcPr>
            <w:tcW w:w="1795" w:type="dxa"/>
            <w:shd w:val="clear" w:color="auto" w:fill="auto"/>
            <w:tcMar>
              <w:top w:w="13" w:type="dxa"/>
              <w:left w:w="13" w:type="dxa"/>
              <w:bottom w:w="0" w:type="dxa"/>
              <w:right w:w="13" w:type="dxa"/>
            </w:tcMar>
            <w:vAlign w:val="bottom"/>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lang w:eastAsia="zh-CN"/>
              </w:rPr>
              <w:t>中广核核技术应用有限公司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textAlignment w:val="bottom"/>
              <w:rPr>
                <w:rFonts w:hint="default" w:ascii="Times New Roman" w:hAnsi="Times New Roman" w:cs="Times New Roman"/>
                <w:sz w:val="18"/>
                <w:szCs w:val="18"/>
              </w:rPr>
            </w:pPr>
            <w:r>
              <w:rPr>
                <w:rFonts w:hint="default" w:ascii="Times New Roman" w:hAnsi="Times New Roman" w:cs="Times New Roman"/>
                <w:sz w:val="18"/>
                <w:szCs w:val="18"/>
              </w:rPr>
              <w:t>向关联人提供的劳务</w:t>
            </w:r>
            <w:r>
              <w:rPr>
                <w:rFonts w:hint="default" w:ascii="Times New Roman" w:hAnsi="Times New Roman" w:cs="Times New Roman"/>
                <w:sz w:val="18"/>
                <w:szCs w:val="18"/>
                <w:lang w:eastAsia="zh-CN"/>
              </w:rPr>
              <w:t>、</w:t>
            </w:r>
            <w:r>
              <w:rPr>
                <w:rFonts w:hint="default" w:ascii="Times New Roman" w:hAnsi="Times New Roman" w:cs="Times New Roman"/>
                <w:sz w:val="18"/>
                <w:szCs w:val="18"/>
              </w:rPr>
              <w:t>托管费</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4"/>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 xml:space="preserve">1,250.00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1033.07</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1,120.38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both"/>
              <w:textAlignment w:val="bottom"/>
              <w:rPr>
                <w:rFonts w:hint="default" w:ascii="Times New Roman" w:hAnsi="Times New Roman" w:cs="Times New Roman"/>
                <w:b/>
                <w:kern w:val="24"/>
                <w:sz w:val="18"/>
                <w:szCs w:val="18"/>
              </w:rPr>
            </w:pPr>
          </w:p>
        </w:tc>
        <w:tc>
          <w:tcPr>
            <w:tcW w:w="1795" w:type="dxa"/>
            <w:shd w:val="clear" w:color="auto" w:fill="auto"/>
            <w:tcMar>
              <w:top w:w="13" w:type="dxa"/>
              <w:left w:w="13" w:type="dxa"/>
              <w:bottom w:w="0" w:type="dxa"/>
              <w:right w:w="13" w:type="dxa"/>
            </w:tcMar>
            <w:vAlign w:val="bottom"/>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sz w:val="18"/>
                <w:szCs w:val="18"/>
              </w:rPr>
              <w:t>中国广核集团有限公司及其下属子公司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textAlignment w:val="bottom"/>
              <w:rPr>
                <w:rFonts w:hint="default" w:ascii="Times New Roman" w:hAnsi="Times New Roman" w:cs="Times New Roman"/>
                <w:sz w:val="18"/>
                <w:szCs w:val="18"/>
              </w:rPr>
            </w:pPr>
            <w:r>
              <w:rPr>
                <w:rFonts w:hint="default" w:ascii="Times New Roman" w:hAnsi="Times New Roman" w:cs="Times New Roman"/>
                <w:sz w:val="18"/>
                <w:szCs w:val="18"/>
              </w:rPr>
              <w:t>向关联人提供的劳务</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 xml:space="preserve">2,302.21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129.74</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sz w:val="18"/>
                <w:szCs w:val="18"/>
                <w:lang w:val="en-US" w:eastAsia="zh-CN"/>
              </w:rPr>
            </w:pPr>
            <w:r>
              <w:rPr>
                <w:rFonts w:hint="default" w:ascii="Times New Roman" w:hAnsi="Times New Roman" w:cs="Times New Roman"/>
                <w:sz w:val="18"/>
                <w:szCs w:val="18"/>
                <w:lang w:val="en-US" w:eastAsia="zh-CN"/>
              </w:rPr>
              <w:t>182.24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4820" w:type="dxa"/>
            <w:gridSpan w:val="3"/>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小计</w:t>
            </w:r>
          </w:p>
        </w:tc>
        <w:tc>
          <w:tcPr>
            <w:tcW w:w="1134"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3,552.21 </w:t>
            </w:r>
          </w:p>
        </w:tc>
        <w:tc>
          <w:tcPr>
            <w:tcW w:w="1086" w:type="dxa"/>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1,162.81 </w:t>
            </w:r>
          </w:p>
        </w:tc>
        <w:tc>
          <w:tcPr>
            <w:tcW w:w="835"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sz w:val="18"/>
                <w:szCs w:val="18"/>
                <w:lang w:val="en-US" w:eastAsia="zh-CN"/>
              </w:rPr>
            </w:pPr>
            <w:r>
              <w:rPr>
                <w:rFonts w:hint="default" w:ascii="Times New Roman" w:hAnsi="Times New Roman" w:cs="Times New Roman"/>
                <w:b/>
                <w:bCs/>
                <w:sz w:val="18"/>
                <w:szCs w:val="18"/>
                <w:lang w:val="en-US" w:eastAsia="zh-CN"/>
              </w:rPr>
              <w:t xml:space="preserve">1,302.62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restart"/>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r>
              <w:rPr>
                <w:rFonts w:hint="default" w:ascii="Times New Roman" w:hAnsi="Times New Roman" w:cs="Times New Roman"/>
                <w:b/>
                <w:sz w:val="18"/>
                <w:szCs w:val="18"/>
              </w:rPr>
              <w:t>其他</w:t>
            </w:r>
          </w:p>
        </w:tc>
        <w:tc>
          <w:tcPr>
            <w:tcW w:w="1795" w:type="dxa"/>
            <w:shd w:val="clear" w:color="auto" w:fill="auto"/>
            <w:tcMar>
              <w:top w:w="13" w:type="dxa"/>
              <w:left w:w="13" w:type="dxa"/>
              <w:bottom w:w="0" w:type="dxa"/>
              <w:right w:w="13" w:type="dxa"/>
            </w:tcMar>
            <w:vAlign w:val="bottom"/>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中广核核技术应用有限公司/中国广核集团有限公司下属子公司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提供租赁</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eastAsia="zh-CN"/>
              </w:rPr>
            </w:pPr>
            <w:r>
              <w:rPr>
                <w:rFonts w:hint="default" w:ascii="Times New Roman" w:hAnsi="Times New Roman" w:cs="Times New Roman"/>
                <w:kern w:val="24"/>
                <w:sz w:val="18"/>
                <w:szCs w:val="18"/>
                <w:lang w:val="en-US" w:eastAsia="zh-CN"/>
              </w:rPr>
              <w:t xml:space="preserve">2.37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0</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eastAsia" w:ascii="Times New Roman" w:hAnsi="Times New Roman" w:cs="Times New Roman"/>
                <w:kern w:val="24"/>
                <w:sz w:val="18"/>
                <w:szCs w:val="18"/>
                <w:lang w:val="en-US" w:eastAsia="zh-CN"/>
              </w:rPr>
              <w:t>4.21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center"/>
              <w:textAlignment w:val="bottom"/>
              <w:rPr>
                <w:rFonts w:hint="default" w:ascii="Times New Roman" w:hAnsi="Times New Roman" w:cs="Times New Roman"/>
                <w:b/>
                <w:sz w:val="18"/>
                <w:szCs w:val="18"/>
              </w:rPr>
            </w:pPr>
          </w:p>
        </w:tc>
        <w:tc>
          <w:tcPr>
            <w:tcW w:w="1795" w:type="dxa"/>
            <w:shd w:val="clear" w:color="auto" w:fill="auto"/>
            <w:tcMar>
              <w:top w:w="13" w:type="dxa"/>
              <w:left w:w="13" w:type="dxa"/>
              <w:bottom w:w="0" w:type="dxa"/>
              <w:right w:w="13" w:type="dxa"/>
            </w:tcMar>
            <w:vAlign w:val="bottom"/>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中国大连国际经济技术合作集团有限公司及其下属子公司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提供租赁</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eastAsia="zh-CN"/>
              </w:rPr>
            </w:pPr>
            <w:r>
              <w:rPr>
                <w:rFonts w:hint="default" w:ascii="Times New Roman" w:hAnsi="Times New Roman" w:cs="Times New Roman"/>
                <w:kern w:val="24"/>
                <w:sz w:val="18"/>
                <w:szCs w:val="18"/>
                <w:lang w:val="en-US" w:eastAsia="zh-CN"/>
              </w:rPr>
              <w:t xml:space="preserve">20.00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0</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16.67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1795" w:type="dxa"/>
            <w:shd w:val="clear" w:color="auto" w:fill="auto"/>
            <w:tcMar>
              <w:top w:w="13" w:type="dxa"/>
              <w:left w:w="13" w:type="dxa"/>
              <w:bottom w:w="0" w:type="dxa"/>
              <w:right w:w="13" w:type="dxa"/>
            </w:tcMar>
            <w:vAlign w:val="bottom"/>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中国广核集团有限公司及其下属子公司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eastAsia="宋体" w:cs="Times New Roman"/>
                <w:kern w:val="24"/>
                <w:sz w:val="18"/>
                <w:szCs w:val="18"/>
                <w:lang w:val="en-US" w:eastAsia="zh-CN"/>
              </w:rPr>
            </w:pPr>
            <w:r>
              <w:rPr>
                <w:rFonts w:hint="default" w:ascii="Times New Roman" w:hAnsi="Times New Roman" w:cs="Times New Roman"/>
                <w:kern w:val="24"/>
                <w:sz w:val="18"/>
                <w:szCs w:val="18"/>
              </w:rPr>
              <w:t>接受租赁</w:t>
            </w:r>
            <w:r>
              <w:rPr>
                <w:rFonts w:hint="default" w:ascii="Times New Roman" w:hAnsi="Times New Roman" w:cs="Times New Roman"/>
                <w:kern w:val="24"/>
                <w:sz w:val="18"/>
                <w:szCs w:val="18"/>
                <w:lang w:eastAsia="zh-CN"/>
              </w:rPr>
              <w:t>、</w:t>
            </w:r>
            <w:r>
              <w:rPr>
                <w:rFonts w:hint="default" w:ascii="Times New Roman" w:hAnsi="Times New Roman" w:cs="Times New Roman"/>
                <w:kern w:val="24"/>
                <w:sz w:val="18"/>
                <w:szCs w:val="18"/>
                <w:lang w:val="en-US" w:eastAsia="zh-CN"/>
              </w:rPr>
              <w:t>物业服务</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 xml:space="preserve">865.00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169.22</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720.9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6" w:hRule="atLeast"/>
          <w:jc w:val="center"/>
        </w:trPr>
        <w:tc>
          <w:tcPr>
            <w:tcW w:w="818" w:type="dxa"/>
            <w:vMerge w:val="continue"/>
            <w:shd w:val="clear" w:color="auto" w:fill="D8D8D8" w:themeFill="background1" w:themeFillShade="D9"/>
            <w:vAlign w:val="center"/>
          </w:tcPr>
          <w:p>
            <w:pPr>
              <w:keepNext w:val="0"/>
              <w:keepLines w:val="0"/>
              <w:widowControl w:val="0"/>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1795" w:type="dxa"/>
            <w:shd w:val="clear" w:color="auto" w:fill="auto"/>
            <w:tcMar>
              <w:top w:w="13" w:type="dxa"/>
              <w:left w:w="13" w:type="dxa"/>
              <w:bottom w:w="0" w:type="dxa"/>
              <w:right w:w="13" w:type="dxa"/>
            </w:tcMar>
            <w:vAlign w:val="bottom"/>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lang w:eastAsia="zh-CN"/>
              </w:rPr>
              <w:t>中国大连国际经济技术合作集团有限公司</w:t>
            </w:r>
          </w:p>
        </w:tc>
        <w:tc>
          <w:tcPr>
            <w:tcW w:w="2127" w:type="dxa"/>
            <w:shd w:val="clear" w:color="auto" w:fill="auto"/>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kern w:val="24"/>
                <w:sz w:val="18"/>
                <w:szCs w:val="18"/>
              </w:rPr>
            </w:pPr>
            <w:r>
              <w:rPr>
                <w:rFonts w:hint="default" w:ascii="Times New Roman" w:hAnsi="Times New Roman" w:cs="Times New Roman"/>
                <w:kern w:val="24"/>
                <w:sz w:val="18"/>
                <w:szCs w:val="18"/>
              </w:rPr>
              <w:t>接受租赁</w:t>
            </w:r>
          </w:p>
        </w:tc>
        <w:tc>
          <w:tcPr>
            <w:tcW w:w="898" w:type="dxa"/>
            <w:shd w:val="clear" w:color="auto" w:fill="auto"/>
            <w:vAlign w:val="center"/>
          </w:tcPr>
          <w:p>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18"/>
                <w:szCs w:val="18"/>
              </w:rPr>
            </w:pPr>
            <w:r>
              <w:rPr>
                <w:rFonts w:hint="default" w:ascii="Times New Roman" w:hAnsi="Times New Roman" w:cs="Times New Roman"/>
                <w:kern w:val="2"/>
                <w:sz w:val="18"/>
                <w:szCs w:val="18"/>
              </w:rPr>
              <w:t>参考市场价格</w:t>
            </w:r>
          </w:p>
        </w:tc>
        <w:tc>
          <w:tcPr>
            <w:tcW w:w="1134"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 xml:space="preserve">6.60 </w:t>
            </w:r>
          </w:p>
        </w:tc>
        <w:tc>
          <w:tcPr>
            <w:tcW w:w="1086" w:type="dxa"/>
            <w:shd w:val="clear" w:color="auto" w:fill="auto"/>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0</w:t>
            </w:r>
          </w:p>
        </w:tc>
        <w:tc>
          <w:tcPr>
            <w:tcW w:w="835" w:type="dxa"/>
            <w:shd w:val="clear" w:color="auto" w:fill="auto"/>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kern w:val="24"/>
                <w:sz w:val="18"/>
                <w:szCs w:val="18"/>
                <w:lang w:val="en-US" w:eastAsia="zh-CN"/>
              </w:rPr>
            </w:pPr>
            <w:r>
              <w:rPr>
                <w:rFonts w:hint="default" w:ascii="Times New Roman" w:hAnsi="Times New Roman" w:cs="Times New Roman"/>
                <w:kern w:val="24"/>
                <w:sz w:val="18"/>
                <w:szCs w:val="18"/>
                <w:lang w:val="en-US" w:eastAsia="zh-CN"/>
              </w:rPr>
              <w:t>28.23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818" w:type="dxa"/>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b/>
                <w:sz w:val="18"/>
                <w:szCs w:val="18"/>
              </w:rPr>
            </w:pPr>
          </w:p>
        </w:tc>
        <w:tc>
          <w:tcPr>
            <w:tcW w:w="4820" w:type="dxa"/>
            <w:gridSpan w:val="3"/>
            <w:shd w:val="clear" w:color="auto" w:fill="D8D8D8" w:themeFill="background1" w:themeFillShade="D9"/>
            <w:tcMar>
              <w:top w:w="13" w:type="dxa"/>
              <w:left w:w="13" w:type="dxa"/>
              <w:bottom w:w="0" w:type="dxa"/>
              <w:right w:w="13" w:type="dxa"/>
            </w:tcMar>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小计</w:t>
            </w:r>
          </w:p>
        </w:tc>
        <w:tc>
          <w:tcPr>
            <w:tcW w:w="1134" w:type="dxa"/>
            <w:shd w:val="clear" w:color="auto" w:fill="D8D8D8" w:themeFill="background1" w:themeFillShade="D9"/>
            <w:tcMar>
              <w:top w:w="15" w:type="dxa"/>
              <w:left w:w="15" w:type="dxa"/>
              <w:bottom w:w="0" w:type="dxa"/>
              <w:right w:w="15" w:type="dxa"/>
            </w:tcMar>
            <w:vAlign w:val="bottom"/>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kern w:val="24"/>
                <w:sz w:val="18"/>
                <w:szCs w:val="18"/>
                <w:lang w:val="en-US" w:eastAsia="zh-CN"/>
              </w:rPr>
            </w:pPr>
            <w:r>
              <w:rPr>
                <w:rFonts w:hint="default" w:ascii="Times New Roman" w:hAnsi="Times New Roman" w:cs="Times New Roman"/>
                <w:b/>
                <w:bCs/>
                <w:kern w:val="24"/>
                <w:sz w:val="18"/>
                <w:szCs w:val="18"/>
                <w:lang w:val="en-US" w:eastAsia="zh-CN"/>
              </w:rPr>
              <w:t>893.97</w:t>
            </w:r>
          </w:p>
        </w:tc>
        <w:tc>
          <w:tcPr>
            <w:tcW w:w="1086" w:type="dxa"/>
            <w:shd w:val="clear" w:color="auto" w:fill="D8D8D8" w:themeFill="background1" w:themeFillShade="D9"/>
            <w:vAlign w:val="bottom"/>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kern w:val="24"/>
                <w:sz w:val="18"/>
                <w:szCs w:val="18"/>
                <w:lang w:val="en-US" w:eastAsia="zh-CN"/>
              </w:rPr>
            </w:pPr>
            <w:r>
              <w:rPr>
                <w:rFonts w:hint="default" w:ascii="Times New Roman" w:hAnsi="Times New Roman" w:cs="Times New Roman"/>
                <w:b/>
                <w:bCs/>
                <w:kern w:val="24"/>
                <w:sz w:val="18"/>
                <w:szCs w:val="18"/>
                <w:lang w:val="en-US" w:eastAsia="zh-CN"/>
              </w:rPr>
              <w:t>169.22</w:t>
            </w:r>
          </w:p>
        </w:tc>
        <w:tc>
          <w:tcPr>
            <w:tcW w:w="835"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cs="Times New Roman"/>
                <w:b/>
                <w:bCs/>
                <w:kern w:val="24"/>
                <w:sz w:val="18"/>
                <w:szCs w:val="18"/>
                <w:lang w:val="en-US" w:eastAsia="zh-CN"/>
              </w:rPr>
            </w:pPr>
            <w:r>
              <w:rPr>
                <w:rFonts w:hint="eastAsia" w:ascii="Times New Roman" w:hAnsi="Times New Roman" w:cs="Times New Roman"/>
                <w:b/>
                <w:bCs/>
                <w:kern w:val="24"/>
                <w:sz w:val="18"/>
                <w:szCs w:val="18"/>
                <w:lang w:val="en-US" w:eastAsia="zh-CN"/>
              </w:rPr>
              <w:t>770.01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7" w:hRule="atLeast"/>
          <w:jc w:val="center"/>
        </w:trPr>
        <w:tc>
          <w:tcPr>
            <w:tcW w:w="5638" w:type="dxa"/>
            <w:gridSpan w:val="4"/>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b/>
                <w:kern w:val="24"/>
                <w:sz w:val="18"/>
                <w:szCs w:val="18"/>
              </w:rPr>
            </w:pPr>
            <w:r>
              <w:rPr>
                <w:rFonts w:hint="default" w:ascii="Times New Roman" w:hAnsi="Times New Roman" w:cs="Times New Roman"/>
                <w:b/>
                <w:kern w:val="24"/>
                <w:sz w:val="18"/>
                <w:szCs w:val="18"/>
              </w:rPr>
              <w:t>合计</w:t>
            </w:r>
          </w:p>
        </w:tc>
        <w:tc>
          <w:tcPr>
            <w:tcW w:w="1134" w:type="dxa"/>
            <w:shd w:val="clear" w:color="auto" w:fill="D8D8D8" w:themeFill="background1" w:themeFillShade="D9"/>
            <w:tcMar>
              <w:top w:w="15" w:type="dxa"/>
              <w:left w:w="15" w:type="dxa"/>
              <w:bottom w:w="0" w:type="dxa"/>
              <w:right w:w="15" w:type="dxa"/>
            </w:tcMar>
            <w:vAlign w:val="bottom"/>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kern w:val="24"/>
                <w:sz w:val="18"/>
                <w:szCs w:val="18"/>
                <w:lang w:val="en-US" w:eastAsia="zh-CN"/>
              </w:rPr>
            </w:pPr>
            <w:r>
              <w:rPr>
                <w:rFonts w:hint="default" w:ascii="Times New Roman" w:hAnsi="Times New Roman" w:cs="Times New Roman"/>
                <w:b/>
                <w:bCs/>
                <w:kern w:val="24"/>
                <w:sz w:val="18"/>
                <w:szCs w:val="18"/>
                <w:lang w:val="en-US" w:eastAsia="zh-CN"/>
              </w:rPr>
              <w:t xml:space="preserve">33,692.09 </w:t>
            </w:r>
          </w:p>
        </w:tc>
        <w:tc>
          <w:tcPr>
            <w:tcW w:w="1086" w:type="dxa"/>
            <w:shd w:val="clear" w:color="auto" w:fill="D8D8D8" w:themeFill="background1" w:themeFillShade="D9"/>
            <w:vAlign w:val="bottom"/>
          </w:tcPr>
          <w:p>
            <w:pPr>
              <w:keepNext w:val="0"/>
              <w:keepLines w:val="0"/>
              <w:widowControl/>
              <w:suppressLineNumbers w:val="0"/>
              <w:spacing w:before="0" w:beforeAutospacing="0" w:after="0" w:afterAutospacing="0"/>
              <w:ind w:left="0" w:right="0"/>
              <w:jc w:val="right"/>
              <w:textAlignment w:val="bottom"/>
              <w:rPr>
                <w:rFonts w:hint="default" w:ascii="Times New Roman" w:hAnsi="Times New Roman" w:cs="Times New Roman"/>
                <w:b/>
                <w:bCs/>
                <w:kern w:val="24"/>
                <w:sz w:val="18"/>
                <w:szCs w:val="18"/>
                <w:lang w:val="en-US" w:eastAsia="zh-CN"/>
              </w:rPr>
            </w:pPr>
            <w:r>
              <w:rPr>
                <w:rFonts w:hint="default" w:ascii="Times New Roman" w:hAnsi="Times New Roman" w:cs="Times New Roman"/>
                <w:b/>
                <w:bCs/>
                <w:kern w:val="24"/>
                <w:sz w:val="18"/>
                <w:szCs w:val="18"/>
                <w:lang w:val="en-US" w:eastAsia="zh-CN"/>
              </w:rPr>
              <w:t xml:space="preserve">1,946.53 </w:t>
            </w:r>
          </w:p>
        </w:tc>
        <w:tc>
          <w:tcPr>
            <w:tcW w:w="835" w:type="dxa"/>
            <w:shd w:val="clear" w:color="auto" w:fill="D8D8D8" w:themeFill="background1" w:themeFillShade="D9"/>
            <w:tcMar>
              <w:top w:w="15" w:type="dxa"/>
              <w:left w:w="15" w:type="dxa"/>
              <w:bottom w:w="0" w:type="dxa"/>
              <w:right w:w="15" w:type="dxa"/>
            </w:tcMar>
            <w:vAlign w:val="center"/>
          </w:tcPr>
          <w:p>
            <w:pPr>
              <w:keepNext w:val="0"/>
              <w:keepLines w:val="0"/>
              <w:widowControl/>
              <w:suppressLineNumbers w:val="0"/>
              <w:spacing w:before="0" w:beforeAutospacing="0" w:after="0" w:afterAutospacing="0"/>
              <w:ind w:left="0" w:leftChars="0" w:right="0" w:rightChars="0"/>
              <w:jc w:val="right"/>
              <w:textAlignment w:val="center"/>
              <w:rPr>
                <w:rFonts w:hint="default" w:ascii="Times New Roman" w:hAnsi="Times New Roman" w:cs="Times New Roman"/>
                <w:b/>
                <w:bCs/>
                <w:kern w:val="24"/>
                <w:sz w:val="18"/>
                <w:szCs w:val="18"/>
                <w:lang w:val="en-US" w:eastAsia="zh-CN"/>
              </w:rPr>
            </w:pPr>
            <w:r>
              <w:rPr>
                <w:rFonts w:hint="eastAsia" w:ascii="Times New Roman" w:hAnsi="Times New Roman" w:cs="Times New Roman"/>
                <w:b/>
                <w:bCs/>
                <w:kern w:val="24"/>
                <w:sz w:val="18"/>
                <w:szCs w:val="18"/>
                <w:lang w:val="en-US" w:eastAsia="zh-CN"/>
              </w:rPr>
              <w:t>10,078.00</w:t>
            </w:r>
            <w:r>
              <w:rPr>
                <w:rFonts w:hint="default" w:ascii="Times New Roman" w:hAnsi="Times New Roman" w:eastAsia="宋体" w:cs="Times New Roman"/>
                <w:b/>
                <w:bCs/>
                <w:i w:val="0"/>
                <w:iCs w:val="0"/>
                <w:color w:val="000000"/>
                <w:kern w:val="0"/>
                <w:sz w:val="18"/>
                <w:szCs w:val="18"/>
                <w:u w:val="none"/>
                <w:lang w:val="en-US" w:eastAsia="zh-CN" w:bidi="ar"/>
              </w:rPr>
              <w:t xml:space="preserve"> </w:t>
            </w:r>
          </w:p>
        </w:tc>
      </w:tr>
    </w:tbl>
    <w:p>
      <w:pPr>
        <w:pStyle w:val="21"/>
        <w:adjustRightInd w:val="0"/>
        <w:snapToGrid w:val="0"/>
        <w:spacing w:before="180" w:beforeLines="50" w:line="360" w:lineRule="auto"/>
        <w:ind w:firstLine="482"/>
        <w:outlineLvl w:val="1"/>
        <w:rPr>
          <w:rFonts w:hint="default" w:ascii="Times New Roman" w:hAnsi="Times New Roman" w:cs="Times New Roman"/>
          <w:b/>
          <w:sz w:val="24"/>
          <w:highlight w:val="none"/>
        </w:rPr>
      </w:pPr>
      <w:r>
        <w:rPr>
          <w:rFonts w:hint="default" w:ascii="Times New Roman" w:hAnsi="Times New Roman" w:cs="Times New Roman"/>
          <w:b/>
          <w:sz w:val="24"/>
          <w:highlight w:val="none"/>
        </w:rPr>
        <w:t>（三）202</w:t>
      </w:r>
      <w:r>
        <w:rPr>
          <w:rFonts w:hint="default" w:ascii="Times New Roman" w:hAnsi="Times New Roman" w:cs="Times New Roman"/>
          <w:b/>
          <w:sz w:val="24"/>
          <w:highlight w:val="none"/>
          <w:lang w:val="en-US" w:eastAsia="zh-CN"/>
        </w:rPr>
        <w:t>2</w:t>
      </w:r>
      <w:r>
        <w:rPr>
          <w:rFonts w:hint="default" w:ascii="Times New Roman" w:hAnsi="Times New Roman" w:cs="Times New Roman"/>
          <w:b/>
          <w:sz w:val="24"/>
          <w:highlight w:val="none"/>
        </w:rPr>
        <w:t>年度日常关联交易实际发生情况</w:t>
      </w:r>
    </w:p>
    <w:p>
      <w:pPr>
        <w:pStyle w:val="21"/>
        <w:adjustRightInd w:val="0"/>
        <w:snapToGrid w:val="0"/>
        <w:spacing w:line="360" w:lineRule="auto"/>
        <w:ind w:firstLine="482"/>
        <w:outlineLvl w:val="1"/>
        <w:rPr>
          <w:rFonts w:hint="default" w:ascii="Times New Roman" w:hAnsi="Times New Roman" w:cs="Times New Roman"/>
          <w:b/>
          <w:sz w:val="24"/>
          <w:lang w:val="en-US" w:eastAsia="zh-CN"/>
        </w:rPr>
      </w:pPr>
      <w:r>
        <w:rPr>
          <w:rFonts w:hint="default" w:ascii="Times New Roman" w:hAnsi="Times New Roman" w:cs="Times New Roman"/>
          <w:b/>
          <w:sz w:val="24"/>
          <w:lang w:val="en-US" w:eastAsia="zh-CN"/>
        </w:rPr>
        <w:t>1、2022年度与财务公司的往来情况</w:t>
      </w:r>
    </w:p>
    <w:p>
      <w:pPr>
        <w:tabs>
          <w:tab w:val="left" w:pos="720"/>
        </w:tabs>
        <w:spacing w:line="360" w:lineRule="auto"/>
        <w:ind w:firstLine="360" w:firstLineChars="200"/>
        <w:jc w:val="right"/>
        <w:rPr>
          <w:rFonts w:hint="default" w:ascii="Times New Roman" w:hAnsi="Times New Roman" w:cs="Times New Roman"/>
          <w:color w:val="000000"/>
          <w:kern w:val="0"/>
          <w:sz w:val="18"/>
          <w:szCs w:val="18"/>
        </w:rPr>
      </w:pPr>
      <w:r>
        <w:rPr>
          <w:rFonts w:hint="default" w:ascii="Times New Roman" w:hAnsi="Times New Roman" w:cs="Times New Roman"/>
          <w:color w:val="000000"/>
          <w:kern w:val="0"/>
          <w:sz w:val="18"/>
          <w:szCs w:val="18"/>
        </w:rPr>
        <w:t>单位：万元</w:t>
      </w:r>
    </w:p>
    <w:p>
      <w:pPr>
        <w:tabs>
          <w:tab w:val="left" w:pos="720"/>
        </w:tabs>
        <w:spacing w:line="360" w:lineRule="auto"/>
        <w:ind w:firstLine="360" w:firstLineChars="200"/>
        <w:jc w:val="left"/>
        <w:rPr>
          <w:rFonts w:hint="default" w:ascii="Times New Roman" w:hAnsi="Times New Roman" w:eastAsia="宋体" w:cs="Times New Roman"/>
          <w:color w:val="000000"/>
          <w:kern w:val="0"/>
          <w:sz w:val="18"/>
          <w:szCs w:val="18"/>
          <w:lang w:val="en-US" w:eastAsia="zh-CN"/>
        </w:rPr>
      </w:pPr>
      <w:r>
        <w:rPr>
          <w:rFonts w:hint="default" w:ascii="Times New Roman" w:hAnsi="Times New Roman" w:cs="Times New Roman"/>
          <w:color w:val="000000"/>
          <w:kern w:val="0"/>
          <w:sz w:val="18"/>
          <w:szCs w:val="18"/>
          <w:lang w:val="en-US" w:eastAsia="zh-CN"/>
        </w:rPr>
        <w:t>存款业务</w:t>
      </w:r>
    </w:p>
    <w:tbl>
      <w:tblPr>
        <w:tblStyle w:val="8"/>
        <w:tblW w:w="87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968"/>
        <w:gridCol w:w="1091"/>
        <w:gridCol w:w="1284"/>
        <w:gridCol w:w="1170"/>
        <w:gridCol w:w="1170"/>
        <w:gridCol w:w="1170"/>
        <w:gridCol w:w="1170"/>
        <w:gridCol w:w="7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76" w:hRule="atLeast"/>
          <w:tblHeader/>
          <w:jc w:val="center"/>
        </w:trPr>
        <w:tc>
          <w:tcPr>
            <w:tcW w:w="968"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关联方</w:t>
            </w:r>
          </w:p>
        </w:tc>
        <w:tc>
          <w:tcPr>
            <w:tcW w:w="1091" w:type="dxa"/>
            <w:vMerge w:val="restart"/>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关联关系</w:t>
            </w:r>
          </w:p>
        </w:tc>
        <w:tc>
          <w:tcPr>
            <w:tcW w:w="1284" w:type="dxa"/>
            <w:vMerge w:val="restart"/>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每日最高存款限额（万元）</w:t>
            </w:r>
          </w:p>
        </w:tc>
        <w:tc>
          <w:tcPr>
            <w:tcW w:w="1170"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存款利率范围</w:t>
            </w:r>
          </w:p>
        </w:tc>
        <w:tc>
          <w:tcPr>
            <w:tcW w:w="1170"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002543"/>
                <w:sz w:val="18"/>
                <w:szCs w:val="18"/>
              </w:rPr>
            </w:pPr>
            <w:r>
              <w:rPr>
                <w:rFonts w:hint="default" w:ascii="Times New Roman" w:hAnsi="Times New Roman" w:eastAsia="宋体" w:cs="Times New Roman"/>
                <w:b/>
                <w:kern w:val="24"/>
                <w:sz w:val="18"/>
                <w:szCs w:val="18"/>
                <w:lang w:val="en-US" w:eastAsia="zh-CN" w:bidi="ar-SA"/>
              </w:rPr>
              <w:t>期初余额（万元）</w:t>
            </w:r>
          </w:p>
        </w:tc>
        <w:tc>
          <w:tcPr>
            <w:tcW w:w="2340" w:type="dxa"/>
            <w:gridSpan w:val="2"/>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002543"/>
                <w:sz w:val="18"/>
                <w:szCs w:val="18"/>
              </w:rPr>
            </w:pPr>
            <w:r>
              <w:rPr>
                <w:rFonts w:hint="default" w:ascii="Times New Roman" w:hAnsi="Times New Roman" w:eastAsia="宋体" w:cs="Times New Roman"/>
                <w:b/>
                <w:bCs/>
                <w:color w:val="auto"/>
                <w:sz w:val="18"/>
                <w:szCs w:val="18"/>
              </w:rPr>
              <w:t>本期发生额</w:t>
            </w:r>
          </w:p>
        </w:tc>
        <w:tc>
          <w:tcPr>
            <w:tcW w:w="716"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002543"/>
                <w:sz w:val="18"/>
                <w:szCs w:val="18"/>
              </w:rPr>
            </w:pPr>
            <w:r>
              <w:rPr>
                <w:rFonts w:hint="default" w:ascii="Times New Roman" w:hAnsi="Times New Roman" w:eastAsia="宋体" w:cs="Times New Roman"/>
                <w:b/>
                <w:kern w:val="24"/>
                <w:sz w:val="18"/>
                <w:szCs w:val="18"/>
                <w:lang w:val="en-US" w:eastAsia="zh-CN" w:bidi="ar-SA"/>
              </w:rPr>
              <w:t>期末余额（万元）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tblHeader/>
          <w:jc w:val="center"/>
        </w:trPr>
        <w:tc>
          <w:tcPr>
            <w:tcW w:w="968" w:type="dxa"/>
            <w:vMerge w:val="continue"/>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091" w:type="dxa"/>
            <w:vMerge w:val="continue"/>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284" w:type="dxa"/>
            <w:vMerge w:val="continue"/>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170" w:type="dxa"/>
            <w:vMerge w:val="continue"/>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170" w:type="dxa"/>
            <w:vMerge w:val="continue"/>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002543"/>
                <w:sz w:val="18"/>
                <w:szCs w:val="18"/>
              </w:rPr>
            </w:pPr>
          </w:p>
        </w:tc>
        <w:tc>
          <w:tcPr>
            <w:tcW w:w="1170" w:type="dxa"/>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本期合计存入金额（万元）</w:t>
            </w:r>
          </w:p>
        </w:tc>
        <w:tc>
          <w:tcPr>
            <w:tcW w:w="1170" w:type="dxa"/>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本期合计取出金额（万元）</w:t>
            </w:r>
          </w:p>
        </w:tc>
        <w:tc>
          <w:tcPr>
            <w:tcW w:w="716" w:type="dxa"/>
            <w:vMerge w:val="continue"/>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002543"/>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0" w:hRule="atLeast"/>
          <w:jc w:val="center"/>
        </w:trPr>
        <w:tc>
          <w:tcPr>
            <w:tcW w:w="968" w:type="dxa"/>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中广核财务有限责任公司</w:t>
            </w:r>
          </w:p>
        </w:tc>
        <w:tc>
          <w:tcPr>
            <w:tcW w:w="1091"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cs="Times New Roman"/>
                <w:color w:val="auto"/>
                <w:kern w:val="24"/>
                <w:sz w:val="18"/>
                <w:szCs w:val="18"/>
              </w:rPr>
            </w:pPr>
            <w:r>
              <w:rPr>
                <w:rFonts w:hint="default" w:ascii="Times New Roman" w:hAnsi="Times New Roman" w:eastAsia="宋体" w:cs="Times New Roman"/>
                <w:color w:val="auto"/>
                <w:sz w:val="18"/>
                <w:szCs w:val="18"/>
              </w:rPr>
              <w:t>同一集团下属控股子公司</w:t>
            </w:r>
          </w:p>
        </w:tc>
        <w:tc>
          <w:tcPr>
            <w:tcW w:w="1284"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300,000 </w:t>
            </w: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0.25%-0.9%</w:t>
            </w: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       114,628.97</w:t>
            </w: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789,495.67</w:t>
            </w: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827,849.55</w:t>
            </w:r>
          </w:p>
        </w:tc>
        <w:tc>
          <w:tcPr>
            <w:tcW w:w="716"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  76,275.09</w:t>
            </w:r>
          </w:p>
        </w:tc>
      </w:tr>
    </w:tbl>
    <w:p>
      <w:pPr>
        <w:tabs>
          <w:tab w:val="left" w:pos="720"/>
        </w:tabs>
        <w:spacing w:line="360" w:lineRule="auto"/>
        <w:ind w:firstLine="360" w:firstLineChars="200"/>
        <w:jc w:val="left"/>
        <w:rPr>
          <w:rFonts w:hint="default" w:ascii="Times New Roman" w:hAnsi="Times New Roman" w:eastAsia="宋体" w:cs="Times New Roman"/>
          <w:color w:val="000000"/>
          <w:kern w:val="0"/>
          <w:sz w:val="18"/>
          <w:szCs w:val="18"/>
          <w:lang w:val="en-US" w:eastAsia="zh-CN"/>
        </w:rPr>
      </w:pPr>
      <w:r>
        <w:rPr>
          <w:rFonts w:hint="default" w:ascii="Times New Roman" w:hAnsi="Times New Roman" w:cs="Times New Roman"/>
          <w:color w:val="000000"/>
          <w:kern w:val="0"/>
          <w:sz w:val="18"/>
          <w:szCs w:val="18"/>
          <w:lang w:val="en-US" w:eastAsia="zh-CN"/>
        </w:rPr>
        <w:t>贷款业务</w:t>
      </w:r>
    </w:p>
    <w:tbl>
      <w:tblPr>
        <w:tblStyle w:val="8"/>
        <w:tblW w:w="87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47"/>
        <w:gridCol w:w="1187"/>
        <w:gridCol w:w="1050"/>
        <w:gridCol w:w="825"/>
        <w:gridCol w:w="1170"/>
        <w:gridCol w:w="1170"/>
        <w:gridCol w:w="1170"/>
        <w:gridCol w:w="11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76" w:hRule="atLeast"/>
          <w:tblHeader/>
          <w:jc w:val="center"/>
        </w:trPr>
        <w:tc>
          <w:tcPr>
            <w:tcW w:w="1047"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关联方</w:t>
            </w:r>
          </w:p>
        </w:tc>
        <w:tc>
          <w:tcPr>
            <w:tcW w:w="1187" w:type="dxa"/>
            <w:vMerge w:val="restart"/>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关联关系</w:t>
            </w:r>
          </w:p>
        </w:tc>
        <w:tc>
          <w:tcPr>
            <w:tcW w:w="1050" w:type="dxa"/>
            <w:vMerge w:val="restart"/>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贷款额度（万元）</w:t>
            </w:r>
          </w:p>
        </w:tc>
        <w:tc>
          <w:tcPr>
            <w:tcW w:w="825"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贷款利率范围</w:t>
            </w:r>
          </w:p>
        </w:tc>
        <w:tc>
          <w:tcPr>
            <w:tcW w:w="1170"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期初余额（万元）</w:t>
            </w:r>
          </w:p>
        </w:tc>
        <w:tc>
          <w:tcPr>
            <w:tcW w:w="2340" w:type="dxa"/>
            <w:gridSpan w:val="2"/>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本期发生额</w:t>
            </w:r>
          </w:p>
        </w:tc>
        <w:tc>
          <w:tcPr>
            <w:tcW w:w="1119"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color w:val="auto"/>
                <w:kern w:val="24"/>
                <w:sz w:val="18"/>
                <w:szCs w:val="18"/>
                <w:lang w:val="en-US" w:eastAsia="zh-CN" w:bidi="ar-SA"/>
              </w:rPr>
              <w:t>期末余额（万元）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7" w:hRule="atLeast"/>
          <w:tblHeader/>
          <w:jc w:val="center"/>
        </w:trPr>
        <w:tc>
          <w:tcPr>
            <w:tcW w:w="1047" w:type="dxa"/>
            <w:vMerge w:val="continue"/>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p>
        </w:tc>
        <w:tc>
          <w:tcPr>
            <w:tcW w:w="1187" w:type="dxa"/>
            <w:vMerge w:val="continue"/>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p>
        </w:tc>
        <w:tc>
          <w:tcPr>
            <w:tcW w:w="1050" w:type="dxa"/>
            <w:vMerge w:val="continue"/>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p>
        </w:tc>
        <w:tc>
          <w:tcPr>
            <w:tcW w:w="825" w:type="dxa"/>
            <w:vMerge w:val="continue"/>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p>
        </w:tc>
        <w:tc>
          <w:tcPr>
            <w:tcW w:w="1170" w:type="dxa"/>
            <w:vMerge w:val="continue"/>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auto"/>
                <w:sz w:val="18"/>
                <w:szCs w:val="18"/>
              </w:rPr>
            </w:pPr>
          </w:p>
        </w:tc>
        <w:tc>
          <w:tcPr>
            <w:tcW w:w="1170" w:type="dxa"/>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本期合计贷款金额（万元）</w:t>
            </w:r>
          </w:p>
        </w:tc>
        <w:tc>
          <w:tcPr>
            <w:tcW w:w="1170" w:type="dxa"/>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本期合计还款金额（万元）</w:t>
            </w:r>
          </w:p>
        </w:tc>
        <w:tc>
          <w:tcPr>
            <w:tcW w:w="1119" w:type="dxa"/>
            <w:vMerge w:val="continue"/>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90" w:hRule="atLeast"/>
          <w:jc w:val="center"/>
        </w:trPr>
        <w:tc>
          <w:tcPr>
            <w:tcW w:w="1047" w:type="dxa"/>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中广核财务有限责任公司</w:t>
            </w:r>
          </w:p>
        </w:tc>
        <w:tc>
          <w:tcPr>
            <w:tcW w:w="1187"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cs="Times New Roman"/>
                <w:color w:val="auto"/>
                <w:kern w:val="24"/>
                <w:sz w:val="18"/>
                <w:szCs w:val="18"/>
              </w:rPr>
            </w:pPr>
            <w:r>
              <w:rPr>
                <w:rFonts w:hint="default" w:ascii="Times New Roman" w:hAnsi="Times New Roman" w:eastAsia="宋体" w:cs="Times New Roman"/>
                <w:color w:val="auto"/>
                <w:sz w:val="18"/>
                <w:szCs w:val="18"/>
              </w:rPr>
              <w:t>同一集团下属控股子公司</w:t>
            </w:r>
          </w:p>
        </w:tc>
        <w:tc>
          <w:tcPr>
            <w:tcW w:w="1050"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340,000 </w:t>
            </w:r>
          </w:p>
        </w:tc>
        <w:tc>
          <w:tcPr>
            <w:tcW w:w="825"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rPr>
            </w:pP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w:t>
            </w: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w:t>
            </w:r>
          </w:p>
        </w:tc>
        <w:tc>
          <w:tcPr>
            <w:tcW w:w="1170"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w:t>
            </w:r>
          </w:p>
        </w:tc>
        <w:tc>
          <w:tcPr>
            <w:tcW w:w="1119" w:type="dxa"/>
            <w:shd w:val="clear" w:color="auto" w:fill="auto"/>
            <w:vAlign w:val="center"/>
          </w:tcPr>
          <w:p>
            <w:pPr>
              <w:pStyle w:val="6"/>
              <w:keepNext w:val="0"/>
              <w:keepLines w:val="0"/>
              <w:widowControl/>
              <w:suppressLineNumbers w:val="0"/>
              <w:ind w:left="0" w:right="0"/>
              <w:jc w:val="right"/>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w:t>
            </w:r>
          </w:p>
        </w:tc>
      </w:tr>
    </w:tbl>
    <w:p>
      <w:pPr>
        <w:tabs>
          <w:tab w:val="left" w:pos="720"/>
        </w:tabs>
        <w:spacing w:line="360" w:lineRule="auto"/>
        <w:ind w:firstLine="360" w:firstLineChars="200"/>
        <w:jc w:val="left"/>
        <w:rPr>
          <w:rFonts w:hint="default" w:ascii="Times New Roman" w:hAnsi="Times New Roman" w:eastAsia="宋体" w:cs="Times New Roman"/>
          <w:color w:val="000000"/>
          <w:kern w:val="0"/>
          <w:sz w:val="18"/>
          <w:szCs w:val="18"/>
          <w:lang w:val="en-US" w:eastAsia="zh-CN"/>
        </w:rPr>
      </w:pPr>
      <w:r>
        <w:rPr>
          <w:rFonts w:hint="default" w:ascii="Times New Roman" w:hAnsi="Times New Roman" w:eastAsia="宋体" w:cs="Times New Roman"/>
          <w:color w:val="000000"/>
          <w:kern w:val="0"/>
          <w:sz w:val="18"/>
          <w:szCs w:val="18"/>
          <w:lang w:val="en-US" w:eastAsia="zh-CN"/>
        </w:rPr>
        <w:t>授信或其他金融业务</w:t>
      </w:r>
    </w:p>
    <w:tbl>
      <w:tblPr>
        <w:tblStyle w:val="8"/>
        <w:tblW w:w="86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2273"/>
        <w:gridCol w:w="2087"/>
        <w:gridCol w:w="1296"/>
        <w:gridCol w:w="1335"/>
        <w:gridCol w:w="168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5" w:hRule="atLeast"/>
          <w:tblHeader/>
          <w:jc w:val="center"/>
        </w:trPr>
        <w:tc>
          <w:tcPr>
            <w:tcW w:w="2273"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关联方</w:t>
            </w:r>
          </w:p>
        </w:tc>
        <w:tc>
          <w:tcPr>
            <w:tcW w:w="2087" w:type="dxa"/>
            <w:vMerge w:val="restart"/>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关联关系</w:t>
            </w:r>
          </w:p>
        </w:tc>
        <w:tc>
          <w:tcPr>
            <w:tcW w:w="1296" w:type="dxa"/>
            <w:vMerge w:val="restart"/>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业务类型</w:t>
            </w:r>
          </w:p>
        </w:tc>
        <w:tc>
          <w:tcPr>
            <w:tcW w:w="1335"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总额（万元）</w:t>
            </w:r>
          </w:p>
        </w:tc>
        <w:tc>
          <w:tcPr>
            <w:tcW w:w="1687" w:type="dxa"/>
            <w:vMerge w:val="restart"/>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kern w:val="24"/>
                <w:sz w:val="18"/>
                <w:szCs w:val="18"/>
                <w:lang w:val="en-US" w:eastAsia="zh-CN" w:bidi="ar-SA"/>
              </w:rPr>
            </w:pPr>
            <w:r>
              <w:rPr>
                <w:rFonts w:hint="default" w:ascii="Times New Roman" w:hAnsi="Times New Roman" w:eastAsia="宋体" w:cs="Times New Roman"/>
                <w:b/>
                <w:kern w:val="24"/>
                <w:sz w:val="18"/>
                <w:szCs w:val="18"/>
                <w:lang w:val="en-US" w:eastAsia="zh-CN" w:bidi="ar-SA"/>
              </w:rPr>
              <w:t>实际发生额（万元）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12" w:hRule="atLeast"/>
          <w:tblHeader/>
          <w:jc w:val="center"/>
        </w:trPr>
        <w:tc>
          <w:tcPr>
            <w:tcW w:w="2273" w:type="dxa"/>
            <w:vMerge w:val="continue"/>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2087" w:type="dxa"/>
            <w:vMerge w:val="continue"/>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296" w:type="dxa"/>
            <w:vMerge w:val="continue"/>
            <w:shd w:val="clear" w:color="auto" w:fill="D8D8D8" w:themeFill="background1" w:themeFillShade="D9"/>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335" w:type="dxa"/>
            <w:vMerge w:val="continue"/>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kern w:val="24"/>
                <w:sz w:val="18"/>
                <w:szCs w:val="18"/>
                <w:lang w:val="en-US" w:eastAsia="zh-CN" w:bidi="ar-SA"/>
              </w:rPr>
            </w:pPr>
          </w:p>
        </w:tc>
        <w:tc>
          <w:tcPr>
            <w:tcW w:w="1687" w:type="dxa"/>
            <w:vMerge w:val="continue"/>
            <w:shd w:val="clear" w:color="auto" w:fill="D8D8D8" w:themeFill="background1" w:themeFillShade="D9"/>
            <w:vAlign w:val="center"/>
          </w:tcPr>
          <w:p>
            <w:pPr>
              <w:pStyle w:val="6"/>
              <w:keepNext w:val="0"/>
              <w:keepLines w:val="0"/>
              <w:widowControl/>
              <w:suppressLineNumbers w:val="0"/>
              <w:ind w:left="0" w:right="0"/>
              <w:jc w:val="center"/>
              <w:rPr>
                <w:rFonts w:hint="default" w:ascii="Times New Roman" w:hAnsi="Times New Roman" w:eastAsia="宋体" w:cs="Times New Roman"/>
                <w:b/>
                <w:bCs/>
                <w:color w:val="002543"/>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2273" w:type="dxa"/>
            <w:shd w:val="clear" w:color="auto" w:fill="D8D8D8" w:themeFill="background1" w:themeFillShade="D9"/>
            <w:vAlign w:val="center"/>
          </w:tcPr>
          <w:p>
            <w:pPr>
              <w:pStyle w:val="6"/>
              <w:keepNext w:val="0"/>
              <w:keepLines w:val="0"/>
              <w:widowControl/>
              <w:suppressLineNumbers w:val="0"/>
              <w:ind w:left="0" w:right="0"/>
              <w:rPr>
                <w:rFonts w:hint="default" w:ascii="Times New Roman" w:hAnsi="Times New Roman" w:eastAsia="宋体" w:cs="Times New Roman"/>
                <w:b/>
                <w:color w:val="auto"/>
                <w:kern w:val="24"/>
                <w:sz w:val="18"/>
                <w:szCs w:val="18"/>
                <w:lang w:val="en-US" w:eastAsia="zh-CN" w:bidi="ar-SA"/>
              </w:rPr>
            </w:pPr>
            <w:r>
              <w:rPr>
                <w:rFonts w:hint="default" w:ascii="Times New Roman" w:hAnsi="Times New Roman" w:eastAsia="宋体" w:cs="Times New Roman"/>
                <w:b/>
                <w:color w:val="auto"/>
                <w:kern w:val="24"/>
                <w:sz w:val="18"/>
                <w:szCs w:val="18"/>
                <w:lang w:val="en-US" w:eastAsia="zh-CN" w:bidi="ar-SA"/>
              </w:rPr>
              <w:t>中广核财务有限责任公司</w:t>
            </w:r>
          </w:p>
        </w:tc>
        <w:tc>
          <w:tcPr>
            <w:tcW w:w="2087" w:type="dxa"/>
            <w:shd w:val="clear" w:color="auto" w:fill="auto"/>
            <w:tcMar>
              <w:top w:w="13" w:type="dxa"/>
              <w:left w:w="13" w:type="dxa"/>
              <w:bottom w:w="0" w:type="dxa"/>
              <w:right w:w="13" w:type="dxa"/>
            </w:tcMar>
            <w:vAlign w:val="center"/>
          </w:tcPr>
          <w:p>
            <w:pPr>
              <w:pStyle w:val="6"/>
              <w:keepNext w:val="0"/>
              <w:keepLines w:val="0"/>
              <w:widowControl/>
              <w:suppressLineNumbers w:val="0"/>
              <w:ind w:left="0" w:right="0"/>
              <w:rPr>
                <w:rFonts w:hint="default" w:ascii="Times New Roman" w:hAnsi="Times New Roman" w:cs="Times New Roman"/>
                <w:color w:val="auto"/>
                <w:kern w:val="24"/>
                <w:sz w:val="18"/>
                <w:szCs w:val="18"/>
              </w:rPr>
            </w:pPr>
            <w:r>
              <w:rPr>
                <w:rFonts w:hint="default" w:ascii="Times New Roman" w:hAnsi="Times New Roman" w:eastAsia="宋体" w:cs="Times New Roman"/>
                <w:color w:val="auto"/>
                <w:sz w:val="18"/>
                <w:szCs w:val="18"/>
              </w:rPr>
              <w:t>同一集团下属控股子公司</w:t>
            </w:r>
          </w:p>
        </w:tc>
        <w:tc>
          <w:tcPr>
            <w:tcW w:w="1296" w:type="dxa"/>
            <w:shd w:val="clear" w:color="auto" w:fill="auto"/>
            <w:tcMar>
              <w:top w:w="13" w:type="dxa"/>
              <w:left w:w="13" w:type="dxa"/>
              <w:bottom w:w="0" w:type="dxa"/>
              <w:right w:w="13" w:type="dxa"/>
            </w:tcMar>
            <w:vAlign w:val="center"/>
          </w:tcPr>
          <w:p>
            <w:pPr>
              <w:keepNext w:val="0"/>
              <w:keepLines w:val="0"/>
              <w:widowControl/>
              <w:suppressLineNumbers w:val="0"/>
              <w:spacing w:before="0" w:beforeLines="0" w:beforeAutospacing="0" w:after="0" w:afterLines="0" w:afterAutospacing="0"/>
              <w:ind w:left="0" w:right="0"/>
              <w:jc w:val="left"/>
              <w:rPr>
                <w:rFonts w:hint="default" w:ascii="Times New Roman" w:hAnsi="Times New Roman" w:eastAsia="宋体" w:cs="Times New Roman"/>
                <w:color w:val="auto"/>
                <w:sz w:val="18"/>
                <w:szCs w:val="18"/>
              </w:rPr>
            </w:pPr>
            <w:r>
              <w:rPr>
                <w:rFonts w:hint="default" w:ascii="Times New Roman" w:hAnsi="Times New Roman" w:cs="Times New Roman"/>
                <w:color w:val="auto"/>
                <w:sz w:val="18"/>
                <w:szCs w:val="24"/>
              </w:rPr>
              <w:t>授信</w:t>
            </w:r>
          </w:p>
        </w:tc>
        <w:tc>
          <w:tcPr>
            <w:tcW w:w="1335" w:type="dxa"/>
            <w:shd w:val="clear" w:color="auto" w:fill="auto"/>
            <w:vAlign w:val="center"/>
          </w:tcPr>
          <w:p>
            <w:pPr>
              <w:keepNext w:val="0"/>
              <w:keepLines w:val="0"/>
              <w:widowControl/>
              <w:suppressLineNumbers w:val="0"/>
              <w:spacing w:before="0" w:beforeLines="0" w:beforeAutospacing="0" w:after="0" w:afterLines="0" w:afterAutospacing="0"/>
              <w:ind w:left="0" w:right="0"/>
              <w:jc w:val="right"/>
              <w:rPr>
                <w:rFonts w:hint="default" w:ascii="Times New Roman" w:hAnsi="Times New Roman" w:eastAsia="宋体" w:cs="Times New Roman"/>
                <w:color w:val="auto"/>
                <w:kern w:val="0"/>
                <w:sz w:val="18"/>
                <w:szCs w:val="18"/>
                <w:lang w:val="en-US" w:eastAsia="zh-CN" w:bidi="ar-SA"/>
              </w:rPr>
            </w:pPr>
            <w:r>
              <w:rPr>
                <w:rFonts w:hint="default" w:ascii="Times New Roman" w:hAnsi="Times New Roman" w:eastAsia="宋体" w:cs="Times New Roman"/>
                <w:color w:val="auto"/>
                <w:kern w:val="0"/>
                <w:sz w:val="18"/>
                <w:szCs w:val="18"/>
                <w:lang w:val="en-US" w:eastAsia="zh-CN" w:bidi="ar-SA"/>
              </w:rPr>
              <w:t>100,000</w:t>
            </w:r>
          </w:p>
        </w:tc>
        <w:tc>
          <w:tcPr>
            <w:tcW w:w="1687" w:type="dxa"/>
            <w:shd w:val="clear" w:color="auto" w:fill="auto"/>
            <w:vAlign w:val="center"/>
          </w:tcPr>
          <w:p>
            <w:pPr>
              <w:keepNext w:val="0"/>
              <w:keepLines w:val="0"/>
              <w:widowControl/>
              <w:suppressLineNumbers w:val="0"/>
              <w:spacing w:before="0" w:beforeLines="0" w:beforeAutospacing="0" w:after="0" w:afterLines="0" w:afterAutospacing="0"/>
              <w:ind w:left="0" w:right="0"/>
              <w:jc w:val="right"/>
              <w:rPr>
                <w:rFonts w:hint="default" w:ascii="Times New Roman" w:hAnsi="Times New Roman" w:eastAsia="宋体" w:cs="Times New Roman"/>
                <w:color w:val="auto"/>
                <w:kern w:val="0"/>
                <w:sz w:val="18"/>
                <w:szCs w:val="18"/>
                <w:lang w:val="en-US" w:eastAsia="zh-CN" w:bidi="ar-SA"/>
              </w:rPr>
            </w:pPr>
            <w:r>
              <w:rPr>
                <w:rFonts w:hint="default" w:ascii="Times New Roman" w:hAnsi="Times New Roman" w:eastAsia="宋体" w:cs="Times New Roman"/>
                <w:color w:val="auto"/>
                <w:kern w:val="0"/>
                <w:sz w:val="18"/>
                <w:szCs w:val="18"/>
                <w:lang w:val="en-US" w:eastAsia="zh-CN" w:bidi="ar-SA"/>
              </w:rPr>
              <w:t>0</w:t>
            </w:r>
          </w:p>
        </w:tc>
      </w:tr>
    </w:tbl>
    <w:p>
      <w:pPr>
        <w:pStyle w:val="21"/>
        <w:adjustRightInd w:val="0"/>
        <w:snapToGrid w:val="0"/>
        <w:spacing w:line="360" w:lineRule="auto"/>
        <w:ind w:firstLine="482"/>
        <w:outlineLvl w:val="1"/>
        <w:rPr>
          <w:rFonts w:hint="default" w:ascii="Times New Roman" w:hAnsi="Times New Roman" w:cs="Times New Roman"/>
          <w:b/>
          <w:sz w:val="24"/>
          <w:lang w:val="en-US" w:eastAsia="zh-CN"/>
        </w:rPr>
      </w:pPr>
    </w:p>
    <w:p>
      <w:pPr>
        <w:pStyle w:val="21"/>
        <w:adjustRightInd w:val="0"/>
        <w:snapToGrid w:val="0"/>
        <w:spacing w:line="360" w:lineRule="auto"/>
        <w:ind w:firstLine="482"/>
        <w:outlineLvl w:val="1"/>
        <w:rPr>
          <w:rFonts w:hint="default" w:ascii="Times New Roman" w:hAnsi="Times New Roman" w:cs="Times New Roman"/>
          <w:b/>
          <w:sz w:val="24"/>
          <w:highlight w:val="none"/>
          <w:lang w:val="en-US" w:eastAsia="zh-CN"/>
        </w:rPr>
      </w:pPr>
      <w:r>
        <w:rPr>
          <w:rFonts w:hint="default" w:ascii="Times New Roman" w:hAnsi="Times New Roman" w:cs="Times New Roman"/>
          <w:b/>
          <w:sz w:val="24"/>
          <w:highlight w:val="none"/>
          <w:lang w:val="en-US" w:eastAsia="zh-CN"/>
        </w:rPr>
        <w:t>2、2022年度除金融服务以外的日常关联交易发生情况</w:t>
      </w:r>
    </w:p>
    <w:p>
      <w:pPr>
        <w:pStyle w:val="21"/>
        <w:adjustRightInd w:val="0"/>
        <w:snapToGrid w:val="0"/>
        <w:spacing w:before="180" w:beforeLines="50" w:line="360" w:lineRule="auto"/>
        <w:ind w:firstLine="482"/>
        <w:outlineLvl w:val="1"/>
        <w:rPr>
          <w:rFonts w:hint="default" w:ascii="Times New Roman" w:hAnsi="Times New Roman" w:cs="Times New Roman"/>
          <w:b/>
          <w:sz w:val="24"/>
          <w:highlight w:val="yellow"/>
        </w:rPr>
      </w:pPr>
    </w:p>
    <w:p>
      <w:pPr>
        <w:adjustRightInd w:val="0"/>
        <w:snapToGrid w:val="0"/>
        <w:jc w:val="right"/>
        <w:rPr>
          <w:rFonts w:hint="default" w:ascii="Times New Roman" w:hAnsi="Times New Roman" w:cs="Times New Roman"/>
          <w:kern w:val="2"/>
          <w:sz w:val="18"/>
          <w:szCs w:val="18"/>
        </w:rPr>
      </w:pPr>
      <w:r>
        <w:rPr>
          <w:rFonts w:hint="default" w:ascii="Times New Roman" w:hAnsi="Times New Roman" w:cs="Times New Roman"/>
          <w:kern w:val="2"/>
          <w:sz w:val="18"/>
          <w:szCs w:val="18"/>
        </w:rPr>
        <w:t>单位：万元</w:t>
      </w:r>
    </w:p>
    <w:tbl>
      <w:tblPr>
        <w:tblStyle w:val="8"/>
        <w:tblW w:w="4740" w:type="pct"/>
        <w:tblInd w:w="14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9"/>
        <w:gridCol w:w="1216"/>
        <w:gridCol w:w="1084"/>
        <w:gridCol w:w="983"/>
        <w:gridCol w:w="943"/>
        <w:gridCol w:w="1186"/>
        <w:gridCol w:w="971"/>
        <w:gridCol w:w="123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blHeader/>
        </w:trPr>
        <w:tc>
          <w:tcPr>
            <w:tcW w:w="506"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关联交易类别</w:t>
            </w:r>
          </w:p>
        </w:tc>
        <w:tc>
          <w:tcPr>
            <w:tcW w:w="716"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关联人</w:t>
            </w:r>
          </w:p>
        </w:tc>
        <w:tc>
          <w:tcPr>
            <w:tcW w:w="639"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关联交易</w:t>
            </w:r>
          </w:p>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内容</w:t>
            </w:r>
          </w:p>
        </w:tc>
        <w:tc>
          <w:tcPr>
            <w:tcW w:w="579"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实际发生金额</w:t>
            </w:r>
          </w:p>
        </w:tc>
        <w:tc>
          <w:tcPr>
            <w:tcW w:w="555"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预计金额</w:t>
            </w:r>
          </w:p>
        </w:tc>
        <w:tc>
          <w:tcPr>
            <w:tcW w:w="699"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实际发生额占同类业务比例</w:t>
            </w:r>
          </w:p>
        </w:tc>
        <w:tc>
          <w:tcPr>
            <w:tcW w:w="572"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实际发生额与预计金额差异</w:t>
            </w:r>
          </w:p>
        </w:tc>
        <w:tc>
          <w:tcPr>
            <w:tcW w:w="730"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披露日期及索引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restar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向关联人采购燃料和动力</w:t>
            </w:r>
          </w:p>
        </w:tc>
        <w:tc>
          <w:tcPr>
            <w:tcW w:w="716" w:type="pct"/>
            <w:shd w:val="clear" w:color="000000" w:fill="FFFFFF"/>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kern w:val="24"/>
                <w:sz w:val="18"/>
                <w:szCs w:val="18"/>
              </w:rPr>
              <w:t>中国广核集团有限公司及其下属子公司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both"/>
              <w:textAlignment w:val="bottom"/>
              <w:rPr>
                <w:rFonts w:hint="default" w:ascii="Times New Roman" w:hAnsi="Times New Roman" w:cs="Times New Roman"/>
                <w:sz w:val="18"/>
                <w:szCs w:val="18"/>
              </w:rPr>
            </w:pPr>
            <w:r>
              <w:rPr>
                <w:rFonts w:hint="default" w:ascii="Times New Roman" w:hAnsi="Times New Roman" w:cs="Times New Roman"/>
                <w:kern w:val="24"/>
                <w:sz w:val="18"/>
                <w:szCs w:val="18"/>
              </w:rPr>
              <w:t>向关联人采购产品、商品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111.45</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1,310.28</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0.02%</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8.51%</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rPr>
              <w:t>巨潮资讯网202</w:t>
            </w:r>
            <w:r>
              <w:rPr>
                <w:rFonts w:hint="default" w:ascii="Times New Roman" w:hAnsi="Times New Roman" w:cs="Times New Roman"/>
                <w:sz w:val="18"/>
                <w:szCs w:val="18"/>
                <w:lang w:val="en-US" w:eastAsia="zh-CN"/>
              </w:rPr>
              <w:t>2</w:t>
            </w:r>
            <w:r>
              <w:rPr>
                <w:rFonts w:hint="default" w:ascii="Times New Roman" w:hAnsi="Times New Roman" w:cs="Times New Roman"/>
                <w:sz w:val="18"/>
                <w:szCs w:val="18"/>
              </w:rPr>
              <w:t>/4/30，公告编号202</w:t>
            </w:r>
            <w:r>
              <w:rPr>
                <w:rFonts w:hint="default" w:ascii="Times New Roman" w:hAnsi="Times New Roman" w:cs="Times New Roman"/>
                <w:sz w:val="18"/>
                <w:szCs w:val="18"/>
                <w:lang w:val="en-US" w:eastAsia="zh-CN"/>
              </w:rPr>
              <w:t>2</w:t>
            </w:r>
            <w:r>
              <w:rPr>
                <w:rFonts w:hint="default" w:ascii="Times New Roman" w:hAnsi="Times New Roman" w:cs="Times New Roman"/>
                <w:sz w:val="18"/>
                <w:szCs w:val="18"/>
              </w:rPr>
              <w:t>-0</w:t>
            </w:r>
            <w:r>
              <w:rPr>
                <w:rFonts w:hint="default" w:ascii="Times New Roman" w:hAnsi="Times New Roman" w:cs="Times New Roman"/>
                <w:sz w:val="18"/>
                <w:szCs w:val="18"/>
                <w:lang w:val="en-US" w:eastAsia="zh-CN"/>
              </w:rPr>
              <w:t>25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中广核工程有限公司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向关联人采购产品、商品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5,000.00</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小计</w:t>
            </w:r>
          </w:p>
        </w:tc>
        <w:tc>
          <w:tcPr>
            <w:tcW w:w="639"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57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111.45</w:t>
            </w:r>
          </w:p>
        </w:tc>
        <w:tc>
          <w:tcPr>
            <w:tcW w:w="555"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6,310.28</w:t>
            </w:r>
          </w:p>
        </w:tc>
        <w:tc>
          <w:tcPr>
            <w:tcW w:w="69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w:t>
            </w:r>
          </w:p>
        </w:tc>
        <w:tc>
          <w:tcPr>
            <w:tcW w:w="572"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730"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0" w:hRule="atLeast"/>
        </w:trPr>
        <w:tc>
          <w:tcPr>
            <w:tcW w:w="506" w:type="pct"/>
            <w:vMerge w:val="restar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p>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接受关联人提供的劳务</w:t>
            </w: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中国广核集团有限公司及其下属子公司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接受关联人提供的劳务</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3,713.94</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6,342.96</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58.76%</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58.55%</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中国大连国际经济技术合作集团有限公司及其下属子公司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接受关联人提供的劳务</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2,606.48</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2,410.64</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41.24%</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108.12%</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小计</w:t>
            </w:r>
          </w:p>
        </w:tc>
        <w:tc>
          <w:tcPr>
            <w:tcW w:w="639"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57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6,320.42</w:t>
            </w:r>
          </w:p>
        </w:tc>
        <w:tc>
          <w:tcPr>
            <w:tcW w:w="555"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8,753.60</w:t>
            </w:r>
          </w:p>
        </w:tc>
        <w:tc>
          <w:tcPr>
            <w:tcW w:w="69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w:t>
            </w:r>
          </w:p>
        </w:tc>
        <w:tc>
          <w:tcPr>
            <w:tcW w:w="572"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730"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restar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向关联人销售产品、商品</w:t>
            </w: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中国广核集团有限公司及其下属子公司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向关联人销售产品、商品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125.36</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7,046.53</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0.02%</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1.78%</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中广核新能源投资（深圳）有限公司、中广核太阳能开发有限公司、中广核风电有限公司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向关联人销售产品、商品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1,440.44</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8,500.00</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0.24%</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16.95%</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中国大连国际经济技术合作集团有限公司及其下属子公司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向关联人销售产品、商品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7.7</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2.35</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0.00%</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327.66%</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b/>
                <w:sz w:val="18"/>
                <w:szCs w:val="18"/>
              </w:rPr>
            </w:pPr>
            <w:r>
              <w:rPr>
                <w:rFonts w:hint="default" w:ascii="Times New Roman" w:hAnsi="Times New Roman" w:cs="Times New Roman"/>
                <w:b/>
                <w:sz w:val="18"/>
                <w:szCs w:val="18"/>
              </w:rPr>
              <w:t>小计</w:t>
            </w:r>
          </w:p>
        </w:tc>
        <w:tc>
          <w:tcPr>
            <w:tcW w:w="63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w:t>
            </w:r>
          </w:p>
        </w:tc>
        <w:tc>
          <w:tcPr>
            <w:tcW w:w="57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1</w:t>
            </w:r>
            <w:r>
              <w:rPr>
                <w:rFonts w:hint="default" w:ascii="Times New Roman" w:hAnsi="Times New Roman" w:cs="Times New Roman"/>
                <w:b/>
                <w:bCs/>
                <w:i w:val="0"/>
                <w:iCs w:val="0"/>
                <w:color w:val="000000"/>
                <w:kern w:val="0"/>
                <w:sz w:val="18"/>
                <w:szCs w:val="18"/>
                <w:u w:val="none"/>
                <w:lang w:val="en-US" w:eastAsia="zh-CN" w:bidi="ar"/>
              </w:rPr>
              <w:t>,</w:t>
            </w:r>
            <w:r>
              <w:rPr>
                <w:rFonts w:hint="default" w:ascii="Times New Roman" w:hAnsi="Times New Roman" w:eastAsia="宋体" w:cs="Times New Roman"/>
                <w:b/>
                <w:bCs/>
                <w:i w:val="0"/>
                <w:iCs w:val="0"/>
                <w:color w:val="000000"/>
                <w:kern w:val="0"/>
                <w:sz w:val="18"/>
                <w:szCs w:val="18"/>
                <w:u w:val="none"/>
                <w:lang w:val="en-US" w:eastAsia="zh-CN" w:bidi="ar"/>
              </w:rPr>
              <w:t>573.5</w:t>
            </w:r>
          </w:p>
        </w:tc>
        <w:tc>
          <w:tcPr>
            <w:tcW w:w="555"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15,548.88</w:t>
            </w:r>
          </w:p>
        </w:tc>
        <w:tc>
          <w:tcPr>
            <w:tcW w:w="69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w:t>
            </w:r>
          </w:p>
        </w:tc>
        <w:tc>
          <w:tcPr>
            <w:tcW w:w="572"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rPr>
                <w:rFonts w:hint="default" w:ascii="Times New Roman" w:hAnsi="Times New Roman" w:cs="Times New Roman"/>
                <w:sz w:val="18"/>
                <w:szCs w:val="18"/>
              </w:rPr>
            </w:pPr>
            <w:r>
              <w:rPr>
                <w:rFonts w:hint="default" w:ascii="Times New Roman" w:hAnsi="Times New Roman" w:cs="Times New Roman"/>
                <w:sz w:val="18"/>
                <w:szCs w:val="18"/>
              </w:rPr>
              <w:t>--</w:t>
            </w:r>
          </w:p>
        </w:tc>
        <w:tc>
          <w:tcPr>
            <w:tcW w:w="730"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restar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向关联人提供劳务</w:t>
            </w: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中广核核技术应用有限公司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向关联人提供的劳务、托管费</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1,120.38</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1,541.00</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18.92%</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72.70%</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中国广核集团有限公司及其下属子公司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向关联人提供的劳务</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182.24</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1,008.00</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3.08%</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18.08%</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小计</w:t>
            </w:r>
          </w:p>
        </w:tc>
        <w:tc>
          <w:tcPr>
            <w:tcW w:w="639"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57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kern w:val="24"/>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1,302.62</w:t>
            </w:r>
          </w:p>
        </w:tc>
        <w:tc>
          <w:tcPr>
            <w:tcW w:w="555"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2,549.00</w:t>
            </w:r>
          </w:p>
        </w:tc>
        <w:tc>
          <w:tcPr>
            <w:tcW w:w="699" w:type="pct"/>
            <w:shd w:val="clear" w:color="auto" w:fill="D8D8D8" w:themeFill="background1" w:themeFillShade="D9"/>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w:t>
            </w:r>
          </w:p>
        </w:tc>
        <w:tc>
          <w:tcPr>
            <w:tcW w:w="572"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730"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restar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其他</w:t>
            </w: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中广核核技术应用有限公司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提供租赁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i w:val="0"/>
                <w:iCs w:val="0"/>
                <w:color w:val="000000"/>
                <w:sz w:val="21"/>
                <w:szCs w:val="21"/>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1.45</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2.37</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0.52%</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61.18%</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中广核新能源湖北有限公司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rPr>
            </w:pPr>
            <w:r>
              <w:rPr>
                <w:rFonts w:hint="default" w:ascii="Times New Roman" w:hAnsi="Times New Roman" w:eastAsia="宋体" w:cs="Times New Roman"/>
                <w:i w:val="0"/>
                <w:iCs w:val="0"/>
                <w:color w:val="000000"/>
                <w:kern w:val="0"/>
                <w:sz w:val="18"/>
                <w:szCs w:val="18"/>
                <w:u w:val="none"/>
                <w:lang w:val="en-US" w:eastAsia="zh-CN" w:bidi="ar"/>
              </w:rPr>
              <w:t>提供租赁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2.76</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0.98%</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中国大连国际经济技术合作集团有限公司及其下属子公司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提供租赁</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16.67</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kern w:val="24"/>
                <w:sz w:val="18"/>
                <w:szCs w:val="18"/>
                <w:lang w:val="en-US" w:eastAsia="zh-CN"/>
              </w:rPr>
            </w:pPr>
            <w:r>
              <w:rPr>
                <w:rFonts w:hint="default" w:ascii="Times New Roman" w:hAnsi="Times New Roman" w:eastAsia="宋体" w:cs="Times New Roman"/>
                <w:i w:val="0"/>
                <w:iCs w:val="0"/>
                <w:color w:val="000000"/>
                <w:kern w:val="0"/>
                <w:sz w:val="18"/>
                <w:szCs w:val="18"/>
                <w:u w:val="none"/>
                <w:lang w:val="en-US" w:eastAsia="zh-CN" w:bidi="ar"/>
              </w:rPr>
              <w:t>—</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5.94%</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highlight w:val="none"/>
              </w:rPr>
            </w:pPr>
            <w:r>
              <w:rPr>
                <w:rFonts w:hint="default" w:ascii="Times New Roman" w:hAnsi="Times New Roman" w:eastAsia="宋体" w:cs="Times New Roman"/>
                <w:i w:val="0"/>
                <w:iCs w:val="0"/>
                <w:color w:val="000000"/>
                <w:kern w:val="0"/>
                <w:sz w:val="18"/>
                <w:szCs w:val="18"/>
                <w:u w:val="none"/>
                <w:lang w:val="en-US" w:eastAsia="zh-CN" w:bidi="ar"/>
              </w:rPr>
              <w:t>中国广核集团有限公司及其下属子公司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highlight w:val="none"/>
              </w:rPr>
            </w:pPr>
            <w:r>
              <w:rPr>
                <w:rFonts w:hint="default" w:ascii="Times New Roman" w:hAnsi="Times New Roman" w:eastAsia="宋体" w:cs="Times New Roman"/>
                <w:i w:val="0"/>
                <w:iCs w:val="0"/>
                <w:color w:val="000000"/>
                <w:kern w:val="0"/>
                <w:sz w:val="18"/>
                <w:szCs w:val="18"/>
                <w:u w:val="none"/>
                <w:lang w:val="en-US" w:eastAsia="zh-CN" w:bidi="ar"/>
              </w:rPr>
              <w:t>接受租赁、物业服务</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720.9</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sz w:val="18"/>
                <w:szCs w:val="18"/>
                <w:highlight w:val="none"/>
              </w:rPr>
            </w:pPr>
            <w:r>
              <w:rPr>
                <w:rFonts w:hint="default" w:ascii="Times New Roman" w:hAnsi="Times New Roman" w:eastAsia="宋体" w:cs="Times New Roman"/>
                <w:i w:val="0"/>
                <w:iCs w:val="0"/>
                <w:color w:val="000000"/>
                <w:kern w:val="0"/>
                <w:sz w:val="18"/>
                <w:szCs w:val="18"/>
                <w:u w:val="none"/>
                <w:lang w:val="en-US" w:eastAsia="zh-CN" w:bidi="ar"/>
              </w:rPr>
              <w:t>878</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93.62%</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82.11%</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highlight w:val="none"/>
              </w:rPr>
            </w:pPr>
            <w:r>
              <w:rPr>
                <w:rFonts w:hint="default" w:ascii="Times New Roman" w:hAnsi="Times New Roman" w:eastAsia="宋体" w:cs="Times New Roman"/>
                <w:i w:val="0"/>
                <w:iCs w:val="0"/>
                <w:color w:val="000000"/>
                <w:kern w:val="0"/>
                <w:sz w:val="18"/>
                <w:szCs w:val="18"/>
                <w:u w:val="none"/>
                <w:lang w:val="en-US" w:eastAsia="zh-CN" w:bidi="ar"/>
              </w:rPr>
              <w:t>中国大连国际经济技术合作集团有限公司</w:t>
            </w:r>
          </w:p>
        </w:tc>
        <w:tc>
          <w:tcPr>
            <w:tcW w:w="639" w:type="pct"/>
            <w:shd w:val="clear" w:color="000000" w:fill="FFFFFF"/>
            <w:vAlign w:val="center"/>
          </w:tcPr>
          <w:p>
            <w:pPr>
              <w:keepNext w:val="0"/>
              <w:keepLines w:val="0"/>
              <w:widowControl/>
              <w:suppressLineNumbers w:val="0"/>
              <w:spacing w:before="0" w:beforeAutospacing="0" w:after="0" w:afterAutospacing="0"/>
              <w:ind w:left="0" w:right="0"/>
              <w:jc w:val="left"/>
              <w:textAlignment w:val="center"/>
              <w:rPr>
                <w:rFonts w:hint="default" w:ascii="Times New Roman" w:hAnsi="Times New Roman" w:cs="Times New Roman"/>
                <w:sz w:val="18"/>
                <w:szCs w:val="18"/>
                <w:highlight w:val="none"/>
              </w:rPr>
            </w:pPr>
            <w:r>
              <w:rPr>
                <w:rFonts w:hint="default" w:ascii="Times New Roman" w:hAnsi="Times New Roman" w:eastAsia="宋体" w:cs="Times New Roman"/>
                <w:i w:val="0"/>
                <w:iCs w:val="0"/>
                <w:color w:val="000000"/>
                <w:kern w:val="0"/>
                <w:sz w:val="18"/>
                <w:szCs w:val="18"/>
                <w:u w:val="none"/>
                <w:lang w:val="en-US" w:eastAsia="zh-CN" w:bidi="ar"/>
              </w:rPr>
              <w:t>接受租赁、物业服务</w:t>
            </w:r>
          </w:p>
        </w:tc>
        <w:tc>
          <w:tcPr>
            <w:tcW w:w="57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kern w:val="24"/>
                <w:sz w:val="18"/>
                <w:szCs w:val="18"/>
              </w:rPr>
            </w:pPr>
            <w:r>
              <w:rPr>
                <w:rFonts w:hint="default" w:ascii="Times New Roman" w:hAnsi="Times New Roman" w:eastAsia="宋体" w:cs="Times New Roman"/>
                <w:i w:val="0"/>
                <w:iCs w:val="0"/>
                <w:color w:val="000000"/>
                <w:kern w:val="0"/>
                <w:sz w:val="18"/>
                <w:szCs w:val="18"/>
                <w:u w:val="none"/>
                <w:lang w:val="en-US" w:eastAsia="zh-CN" w:bidi="ar"/>
              </w:rPr>
              <w:t>28.23</w:t>
            </w:r>
          </w:p>
        </w:tc>
        <w:tc>
          <w:tcPr>
            <w:tcW w:w="555"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w:t>
            </w:r>
          </w:p>
        </w:tc>
        <w:tc>
          <w:tcPr>
            <w:tcW w:w="699"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3.67%</w:t>
            </w:r>
          </w:p>
        </w:tc>
        <w:tc>
          <w:tcPr>
            <w:tcW w:w="572" w:type="pct"/>
            <w:shd w:val="clear" w:color="000000" w:fill="FFFFFF"/>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sz w:val="22"/>
                <w:szCs w:val="22"/>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117.63%</w:t>
            </w:r>
          </w:p>
        </w:tc>
        <w:tc>
          <w:tcPr>
            <w:tcW w:w="730" w:type="pct"/>
            <w:shd w:val="clear" w:color="000000" w:fill="FFFFFF"/>
            <w:vAlign w:val="center"/>
          </w:tcPr>
          <w:p>
            <w:pPr>
              <w:keepNext w:val="0"/>
              <w:keepLines w:val="0"/>
              <w:widowControl/>
              <w:suppressLineNumbers w:val="0"/>
              <w:spacing w:before="0" w:beforeAutospacing="0" w:after="0" w:afterAutospacing="0"/>
              <w:ind w:left="0" w:right="0"/>
              <w:jc w:val="center"/>
              <w:rPr>
                <w:rFonts w:hint="default" w:ascii="Times New Roman" w:hAnsi="Times New Roman" w:cs="Times New Roman"/>
                <w:sz w:val="18"/>
                <w:szCs w:val="18"/>
              </w:rPr>
            </w:pPr>
            <w:r>
              <w:rPr>
                <w:rFonts w:hint="default" w:ascii="Times New Roman" w:hAnsi="Times New Roman" w:cs="Times New Roman"/>
                <w:sz w:val="18"/>
                <w:szCs w:val="18"/>
              </w:rPr>
              <w:t>同上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6" w:type="pct"/>
            <w:vMerge w:val="continue"/>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p>
        </w:tc>
        <w:tc>
          <w:tcPr>
            <w:tcW w:w="716" w:type="pct"/>
            <w:shd w:val="clear" w:color="auto" w:fill="D8D8D8" w:themeFill="background1" w:themeFillShade="D9"/>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小计</w:t>
            </w:r>
          </w:p>
        </w:tc>
        <w:tc>
          <w:tcPr>
            <w:tcW w:w="639"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579" w:type="pct"/>
            <w:shd w:val="clear" w:color="auto" w:fill="D8D8D8" w:themeFill="background1" w:themeFillShade="D9"/>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宋体" w:cs="Times New Roman"/>
                <w:i w:val="0"/>
                <w:iCs w:val="0"/>
                <w:color w:val="000000"/>
                <w:sz w:val="22"/>
                <w:szCs w:val="22"/>
                <w:u w:val="none"/>
                <w:lang w:val="en-US" w:eastAsia="zh-CN" w:bidi="ar-SA"/>
              </w:rPr>
            </w:pPr>
            <w:r>
              <w:rPr>
                <w:rFonts w:hint="default" w:ascii="Times New Roman" w:hAnsi="Times New Roman" w:eastAsia="宋体" w:cs="Times New Roman"/>
                <w:b/>
                <w:bCs/>
                <w:i w:val="0"/>
                <w:iCs w:val="0"/>
                <w:color w:val="000000"/>
                <w:kern w:val="0"/>
                <w:sz w:val="18"/>
                <w:szCs w:val="18"/>
                <w:u w:val="none"/>
                <w:lang w:val="en-US" w:eastAsia="zh-CN" w:bidi="ar"/>
              </w:rPr>
              <w:t>770.01</w:t>
            </w:r>
          </w:p>
        </w:tc>
        <w:tc>
          <w:tcPr>
            <w:tcW w:w="555" w:type="pct"/>
            <w:shd w:val="clear" w:color="auto" w:fill="D8D8D8" w:themeFill="background1" w:themeFillShade="D9"/>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Style w:val="22"/>
                <w:rFonts w:hint="default" w:ascii="Times New Roman" w:hAnsi="Times New Roman" w:eastAsia="宋体" w:cs="Times New Roman"/>
                <w:lang w:val="en-US" w:eastAsia="zh-CN" w:bidi="ar"/>
              </w:rPr>
              <w:t>904.37</w:t>
            </w:r>
          </w:p>
        </w:tc>
        <w:tc>
          <w:tcPr>
            <w:tcW w:w="699"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572"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730"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1862" w:type="pct"/>
            <w:gridSpan w:val="3"/>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firstLine="1355" w:firstLineChars="750"/>
              <w:rPr>
                <w:rFonts w:hint="default" w:ascii="Times New Roman" w:hAnsi="Times New Roman" w:cs="Times New Roman"/>
                <w:b/>
                <w:sz w:val="18"/>
                <w:szCs w:val="18"/>
              </w:rPr>
            </w:pPr>
            <w:r>
              <w:rPr>
                <w:rFonts w:hint="default" w:ascii="Times New Roman" w:hAnsi="Times New Roman" w:cs="Times New Roman"/>
                <w:b/>
                <w:sz w:val="18"/>
                <w:szCs w:val="18"/>
              </w:rPr>
              <w:t>合计</w:t>
            </w:r>
          </w:p>
        </w:tc>
        <w:tc>
          <w:tcPr>
            <w:tcW w:w="579" w:type="pct"/>
            <w:shd w:val="clear" w:color="auto" w:fill="D8D8D8" w:themeFill="background1" w:themeFillShade="D9"/>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eastAsia="楷体" w:cs="Times New Roman"/>
                <w:i w:val="0"/>
                <w:iCs w:val="0"/>
                <w:color w:val="000000"/>
                <w:sz w:val="22"/>
                <w:szCs w:val="22"/>
                <w:u w:val="none"/>
                <w:lang w:val="en-US" w:eastAsia="zh-CN" w:bidi="ar-SA"/>
              </w:rPr>
            </w:pPr>
            <w:r>
              <w:rPr>
                <w:rFonts w:hint="default" w:ascii="Times New Roman" w:hAnsi="Times New Roman" w:eastAsia="宋体" w:cs="Times New Roman"/>
                <w:b/>
                <w:bCs/>
                <w:i w:val="0"/>
                <w:iCs w:val="0"/>
                <w:color w:val="000000"/>
                <w:kern w:val="0"/>
                <w:sz w:val="18"/>
                <w:szCs w:val="18"/>
                <w:u w:val="none"/>
                <w:lang w:val="en-US" w:eastAsia="zh-CN" w:bidi="ar"/>
              </w:rPr>
              <w:t>10,078.00</w:t>
            </w:r>
          </w:p>
        </w:tc>
        <w:tc>
          <w:tcPr>
            <w:tcW w:w="555" w:type="pct"/>
            <w:shd w:val="clear" w:color="auto" w:fill="D8D8D8" w:themeFill="background1" w:themeFillShade="D9"/>
            <w:noWrap/>
            <w:vAlign w:val="center"/>
          </w:tcPr>
          <w:p>
            <w:pPr>
              <w:keepNext w:val="0"/>
              <w:keepLines w:val="0"/>
              <w:widowControl/>
              <w:suppressLineNumbers w:val="0"/>
              <w:spacing w:before="0" w:beforeAutospacing="0" w:after="0" w:afterAutospacing="0"/>
              <w:ind w:left="0" w:right="0"/>
              <w:jc w:val="right"/>
              <w:textAlignment w:val="center"/>
              <w:rPr>
                <w:rFonts w:hint="default" w:ascii="Times New Roman" w:hAnsi="Times New Roman" w:cs="Times New Roman"/>
                <w:b/>
                <w:sz w:val="18"/>
                <w:szCs w:val="18"/>
              </w:rPr>
            </w:pPr>
            <w:r>
              <w:rPr>
                <w:rFonts w:hint="default" w:ascii="Times New Roman" w:hAnsi="Times New Roman" w:eastAsia="宋体" w:cs="Times New Roman"/>
                <w:b/>
                <w:bCs/>
                <w:i w:val="0"/>
                <w:iCs w:val="0"/>
                <w:color w:val="000000"/>
                <w:kern w:val="0"/>
                <w:sz w:val="18"/>
                <w:szCs w:val="18"/>
                <w:u w:val="none"/>
                <w:lang w:val="en-US" w:eastAsia="zh-CN" w:bidi="ar"/>
              </w:rPr>
              <w:t>34,066.13</w:t>
            </w:r>
          </w:p>
        </w:tc>
        <w:tc>
          <w:tcPr>
            <w:tcW w:w="699"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572"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right"/>
              <w:rPr>
                <w:rFonts w:hint="default" w:ascii="Times New Roman" w:hAnsi="Times New Roman" w:cs="Times New Roman"/>
                <w:b/>
                <w:sz w:val="18"/>
                <w:szCs w:val="18"/>
              </w:rPr>
            </w:pPr>
            <w:r>
              <w:rPr>
                <w:rFonts w:hint="default" w:ascii="Times New Roman" w:hAnsi="Times New Roman" w:cs="Times New Roman"/>
                <w:b/>
                <w:sz w:val="18"/>
                <w:szCs w:val="18"/>
              </w:rPr>
              <w:t>--</w:t>
            </w:r>
          </w:p>
        </w:tc>
        <w:tc>
          <w:tcPr>
            <w:tcW w:w="730" w:type="pct"/>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jc w:val="center"/>
              <w:rPr>
                <w:rFonts w:hint="default" w:ascii="Times New Roman" w:hAnsi="Times New Roman" w:cs="Times New Roman"/>
                <w:b/>
                <w:sz w:val="18"/>
                <w:szCs w:val="18"/>
              </w:rPr>
            </w:pPr>
            <w:r>
              <w:rPr>
                <w:rFonts w:hint="default" w:ascii="Times New Roman" w:hAnsi="Times New Roman" w:cs="Times New Roman"/>
                <w:b/>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5" w:hRule="atLeast"/>
        </w:trPr>
        <w:tc>
          <w:tcPr>
            <w:tcW w:w="1862" w:type="pct"/>
            <w:gridSpan w:val="3"/>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r>
              <w:rPr>
                <w:rFonts w:hint="default" w:ascii="Times New Roman" w:hAnsi="Times New Roman" w:cs="Times New Roman"/>
                <w:b/>
                <w:sz w:val="18"/>
                <w:szCs w:val="18"/>
              </w:rPr>
              <w:t>公司董事会对日常关联交易实际发生情况与预计存在较大差异的说明</w:t>
            </w:r>
          </w:p>
        </w:tc>
        <w:tc>
          <w:tcPr>
            <w:tcW w:w="3137" w:type="pct"/>
            <w:gridSpan w:val="5"/>
            <w:shd w:val="clear" w:color="auto" w:fill="FFFFFF" w:themeFill="background1"/>
            <w:noWrap/>
            <w:vAlign w:val="center"/>
          </w:tcPr>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rPr>
              <w:t>公司在计划年度关联交易预计前，业务、管理部门基于产销计划、费用预算等对关联交易进行了充分的评估和测算，但因市场与客户要求及公司实际情况变化等影响，公司关联交易预计与实际发生情况存在差异，属于正常的经营行为，对公司日常经营及业绩影响较小。</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rPr>
              <w:t>其中差异较大的如下：</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rPr>
              <w:t>1、</w:t>
            </w:r>
            <w:r>
              <w:rPr>
                <w:rFonts w:hint="default" w:ascii="Times New Roman" w:hAnsi="Times New Roman" w:cs="Times New Roman"/>
                <w:sz w:val="18"/>
                <w:szCs w:val="18"/>
                <w:lang w:val="en-US" w:eastAsia="zh-CN"/>
              </w:rPr>
              <w:t>向</w:t>
            </w:r>
            <w:r>
              <w:rPr>
                <w:rFonts w:hint="default" w:ascii="Times New Roman" w:hAnsi="Times New Roman" w:cs="Times New Roman"/>
                <w:sz w:val="18"/>
                <w:szCs w:val="18"/>
              </w:rPr>
              <w:t>中广核工程有限公司</w:t>
            </w:r>
            <w:r>
              <w:rPr>
                <w:rFonts w:hint="default" w:ascii="Times New Roman" w:hAnsi="Times New Roman" w:cs="Times New Roman"/>
                <w:sz w:val="18"/>
                <w:szCs w:val="18"/>
                <w:lang w:val="en-US" w:eastAsia="zh-CN"/>
              </w:rPr>
              <w:t>采购产品，</w:t>
            </w:r>
            <w:r>
              <w:rPr>
                <w:rFonts w:hint="default" w:ascii="Times New Roman" w:hAnsi="Times New Roman" w:cs="Times New Roman"/>
                <w:sz w:val="18"/>
                <w:szCs w:val="18"/>
              </w:rPr>
              <w:t>原预计金额5,000万元</w:t>
            </w:r>
            <w:r>
              <w:rPr>
                <w:rFonts w:hint="default" w:ascii="Times New Roman" w:hAnsi="Times New Roman" w:cs="Times New Roman"/>
                <w:sz w:val="18"/>
                <w:szCs w:val="18"/>
                <w:lang w:val="en-US" w:eastAsia="zh-CN"/>
              </w:rPr>
              <w:t>，因</w:t>
            </w:r>
            <w:r>
              <w:rPr>
                <w:rFonts w:hint="eastAsia" w:ascii="Times New Roman" w:hAnsi="Times New Roman" w:cs="Times New Roman"/>
                <w:sz w:val="18"/>
                <w:szCs w:val="18"/>
                <w:lang w:val="en-US" w:eastAsia="zh-CN"/>
              </w:rPr>
              <w:t>客观</w:t>
            </w:r>
            <w:r>
              <w:rPr>
                <w:rFonts w:hint="default" w:ascii="Times New Roman" w:hAnsi="Times New Roman" w:cs="Times New Roman"/>
                <w:sz w:val="18"/>
                <w:szCs w:val="18"/>
                <w:lang w:val="en-US" w:eastAsia="zh-CN"/>
              </w:rPr>
              <w:t>原因尚未签署合同</w:t>
            </w:r>
            <w:r>
              <w:rPr>
                <w:rFonts w:hint="default" w:ascii="Times New Roman" w:hAnsi="Times New Roman" w:cs="Times New Roman"/>
                <w:sz w:val="18"/>
                <w:szCs w:val="18"/>
              </w:rPr>
              <w:t>，实际发生额为0元；</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lang w:val="en-US" w:eastAsia="zh-CN"/>
              </w:rPr>
              <w:t>2</w:t>
            </w:r>
            <w:r>
              <w:rPr>
                <w:rFonts w:hint="default" w:ascii="Times New Roman" w:hAnsi="Times New Roman" w:cs="Times New Roman"/>
                <w:sz w:val="18"/>
                <w:szCs w:val="18"/>
              </w:rPr>
              <w:t>、向中广核宏达环境科技有限责任公司销售电子加速器污水处理设备，原预计额度1,500万元，因项目</w:t>
            </w:r>
            <w:r>
              <w:rPr>
                <w:rFonts w:hint="default" w:ascii="Times New Roman" w:hAnsi="Times New Roman" w:cs="Times New Roman"/>
                <w:sz w:val="18"/>
                <w:szCs w:val="18"/>
                <w:lang w:val="en-US" w:eastAsia="zh-CN"/>
              </w:rPr>
              <w:t>未开展</w:t>
            </w:r>
            <w:r>
              <w:rPr>
                <w:rFonts w:hint="default" w:ascii="Times New Roman" w:hAnsi="Times New Roman" w:cs="Times New Roman"/>
                <w:sz w:val="18"/>
                <w:szCs w:val="18"/>
              </w:rPr>
              <w:t>，实际发生额为0元；</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lang w:val="en-US" w:eastAsia="zh-CN"/>
              </w:rPr>
              <w:t>3、向中广核环保产业有限公司</w:t>
            </w:r>
            <w:r>
              <w:rPr>
                <w:rFonts w:hint="default" w:ascii="Times New Roman" w:hAnsi="Times New Roman" w:cs="Times New Roman"/>
                <w:sz w:val="18"/>
                <w:szCs w:val="18"/>
              </w:rPr>
              <w:t>销售电子加速器污水处理设备，原预计额度1,500万元，因项目</w:t>
            </w:r>
            <w:r>
              <w:rPr>
                <w:rFonts w:hint="default" w:ascii="Times New Roman" w:hAnsi="Times New Roman" w:cs="Times New Roman"/>
                <w:sz w:val="18"/>
                <w:szCs w:val="18"/>
                <w:lang w:val="en-US" w:eastAsia="zh-CN"/>
              </w:rPr>
              <w:t>未开展</w:t>
            </w:r>
            <w:r>
              <w:rPr>
                <w:rFonts w:hint="default" w:ascii="Times New Roman" w:hAnsi="Times New Roman" w:cs="Times New Roman"/>
                <w:sz w:val="18"/>
                <w:szCs w:val="18"/>
              </w:rPr>
              <w:t>，实际发生额为0元；</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4、向苏州热工</w:t>
            </w:r>
            <w:r>
              <w:rPr>
                <w:rFonts w:hint="eastAsia" w:ascii="Times New Roman" w:hAnsi="Times New Roman" w:cs="Times New Roman"/>
                <w:sz w:val="18"/>
                <w:szCs w:val="18"/>
                <w:lang w:val="en-US" w:eastAsia="zh-CN"/>
              </w:rPr>
              <w:t>研究</w:t>
            </w:r>
            <w:r>
              <w:rPr>
                <w:rFonts w:hint="default" w:ascii="Times New Roman" w:hAnsi="Times New Roman" w:cs="Times New Roman"/>
                <w:sz w:val="18"/>
                <w:szCs w:val="18"/>
                <w:lang w:val="en-US" w:eastAsia="zh-CN"/>
              </w:rPr>
              <w:t>院有限公司提供无损检测业务技术支持，</w:t>
            </w:r>
            <w:r>
              <w:rPr>
                <w:rFonts w:hint="default" w:ascii="Times New Roman" w:hAnsi="Times New Roman" w:cs="Times New Roman"/>
                <w:sz w:val="18"/>
                <w:szCs w:val="18"/>
              </w:rPr>
              <w:t>原预计额度1,</w:t>
            </w:r>
            <w:r>
              <w:rPr>
                <w:rFonts w:hint="default" w:ascii="Times New Roman" w:hAnsi="Times New Roman" w:cs="Times New Roman"/>
                <w:sz w:val="18"/>
                <w:szCs w:val="18"/>
                <w:lang w:val="en-US" w:eastAsia="zh-CN"/>
              </w:rPr>
              <w:t>0</w:t>
            </w:r>
            <w:r>
              <w:rPr>
                <w:rFonts w:hint="default" w:ascii="Times New Roman" w:hAnsi="Times New Roman" w:cs="Times New Roman"/>
                <w:sz w:val="18"/>
                <w:szCs w:val="18"/>
              </w:rPr>
              <w:t>00万元，因</w:t>
            </w:r>
            <w:r>
              <w:rPr>
                <w:rFonts w:hint="default" w:ascii="Times New Roman" w:hAnsi="Times New Roman" w:cs="Times New Roman"/>
                <w:sz w:val="18"/>
                <w:szCs w:val="18"/>
                <w:lang w:val="en-US" w:eastAsia="zh-CN"/>
              </w:rPr>
              <w:t>受关联方业务开展进度影响</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业务延迟，</w:t>
            </w:r>
            <w:r>
              <w:rPr>
                <w:rFonts w:hint="default" w:ascii="Times New Roman" w:hAnsi="Times New Roman" w:cs="Times New Roman"/>
                <w:sz w:val="18"/>
                <w:szCs w:val="18"/>
              </w:rPr>
              <w:t>实际发生额为0元；</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lang w:val="en-US" w:eastAsia="zh-CN"/>
              </w:rPr>
              <w:t>5</w:t>
            </w:r>
            <w:r>
              <w:rPr>
                <w:rFonts w:hint="default" w:ascii="Times New Roman" w:hAnsi="Times New Roman" w:cs="Times New Roman"/>
                <w:sz w:val="18"/>
                <w:szCs w:val="18"/>
              </w:rPr>
              <w:t>、向中广核研究院</w:t>
            </w:r>
            <w:r>
              <w:rPr>
                <w:rFonts w:hint="default" w:ascii="Times New Roman" w:hAnsi="Times New Roman" w:cs="Times New Roman"/>
                <w:sz w:val="18"/>
                <w:szCs w:val="18"/>
                <w:lang w:val="en-US" w:eastAsia="zh-CN"/>
              </w:rPr>
              <w:t>有限公司</w:t>
            </w:r>
            <w:r>
              <w:rPr>
                <w:rFonts w:hint="default" w:ascii="Times New Roman" w:hAnsi="Times New Roman" w:cs="Times New Roman"/>
                <w:sz w:val="18"/>
                <w:szCs w:val="18"/>
              </w:rPr>
              <w:t>销售工业CT检测系统原预计额度900万元，因研究院自身项目进展缓慢，采购需求不紧迫而推迟，实际发生额为0元；</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lang w:val="en-US" w:eastAsia="zh-CN"/>
              </w:rPr>
              <w:t>6</w:t>
            </w:r>
            <w:r>
              <w:rPr>
                <w:rFonts w:hint="default" w:ascii="Times New Roman" w:hAnsi="Times New Roman" w:cs="Times New Roman"/>
                <w:sz w:val="18"/>
                <w:szCs w:val="18"/>
              </w:rPr>
              <w:t>、向中国广核新能源控股有限公司下属各新能源项目公司销售电缆附件、电线电缆、电缆分接箱等原预计额度8,500万元，实际发生额为1,440.44万元，主要是因为新能源太阳光伏项目采用EPC总包模式，</w:t>
            </w:r>
            <w:r>
              <w:rPr>
                <w:rFonts w:hint="default" w:ascii="Times New Roman" w:hAnsi="Times New Roman" w:cs="Times New Roman"/>
                <w:sz w:val="18"/>
                <w:szCs w:val="18"/>
                <w:lang w:val="en-US" w:eastAsia="zh-CN"/>
              </w:rPr>
              <w:t>公司</w:t>
            </w:r>
            <w:r>
              <w:rPr>
                <w:rFonts w:hint="default" w:ascii="Times New Roman" w:hAnsi="Times New Roman" w:cs="Times New Roman"/>
                <w:sz w:val="18"/>
                <w:szCs w:val="18"/>
              </w:rPr>
              <w:t>与总包单位签署了销售合同，不涉及关联交易；</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eastAsia="宋体" w:cs="Times New Roman"/>
                <w:sz w:val="18"/>
                <w:szCs w:val="18"/>
                <w:lang w:val="en-US" w:eastAsia="zh-CN"/>
              </w:rPr>
            </w:pPr>
            <w:r>
              <w:rPr>
                <w:rFonts w:hint="default" w:ascii="Times New Roman" w:hAnsi="Times New Roman" w:cs="Times New Roman"/>
                <w:sz w:val="18"/>
                <w:szCs w:val="18"/>
                <w:lang w:val="en-US" w:eastAsia="zh-CN"/>
              </w:rPr>
              <w:t>7</w:t>
            </w:r>
            <w:r>
              <w:rPr>
                <w:rFonts w:hint="default" w:ascii="Times New Roman" w:hAnsi="Times New Roman" w:cs="Times New Roman"/>
                <w:sz w:val="18"/>
                <w:szCs w:val="18"/>
              </w:rPr>
              <w:t>、</w:t>
            </w:r>
            <w:r>
              <w:rPr>
                <w:rFonts w:hint="default" w:ascii="Times New Roman" w:hAnsi="Times New Roman" w:cs="Times New Roman"/>
                <w:sz w:val="18"/>
                <w:szCs w:val="18"/>
                <w:lang w:val="en-US" w:eastAsia="zh-CN"/>
              </w:rPr>
              <w:t>接受</w:t>
            </w:r>
            <w:r>
              <w:rPr>
                <w:rFonts w:hint="default" w:ascii="Times New Roman" w:hAnsi="Times New Roman" w:cs="Times New Roman"/>
                <w:sz w:val="18"/>
                <w:szCs w:val="18"/>
              </w:rPr>
              <w:t>深圳中广核工程设计有限公司</w:t>
            </w:r>
            <w:r>
              <w:rPr>
                <w:rFonts w:hint="default" w:ascii="Times New Roman" w:hAnsi="Times New Roman" w:cs="Times New Roman"/>
                <w:sz w:val="18"/>
                <w:szCs w:val="18"/>
                <w:lang w:val="en-US" w:eastAsia="zh-CN"/>
              </w:rPr>
              <w:t>的设计服务，</w:t>
            </w:r>
            <w:r>
              <w:rPr>
                <w:rFonts w:hint="default" w:ascii="Times New Roman" w:hAnsi="Times New Roman" w:cs="Times New Roman"/>
                <w:sz w:val="18"/>
                <w:szCs w:val="18"/>
              </w:rPr>
              <w:t>原预计额度</w:t>
            </w:r>
            <w:r>
              <w:rPr>
                <w:rFonts w:hint="default" w:ascii="Times New Roman" w:hAnsi="Times New Roman" w:cs="Times New Roman"/>
                <w:sz w:val="18"/>
                <w:szCs w:val="18"/>
                <w:lang w:val="en-US" w:eastAsia="zh-CN"/>
              </w:rPr>
              <w:t>800万元，因项目未完成，实际发生额2万元；</w:t>
            </w:r>
          </w:p>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lang w:val="en-US" w:eastAsia="zh-CN"/>
              </w:rPr>
              <w:t>8</w:t>
            </w:r>
            <w:r>
              <w:rPr>
                <w:rFonts w:hint="default" w:ascii="Times New Roman" w:hAnsi="Times New Roman" w:cs="Times New Roman"/>
                <w:sz w:val="18"/>
                <w:szCs w:val="18"/>
              </w:rPr>
              <w:t>、部分关联交易由于实际情况变化未发生或由于项目进展较慢，执行率低。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4" w:hRule="atLeast"/>
        </w:trPr>
        <w:tc>
          <w:tcPr>
            <w:tcW w:w="1862" w:type="pct"/>
            <w:gridSpan w:val="3"/>
            <w:shd w:val="clear" w:color="auto" w:fill="D8D8D8" w:themeFill="background1" w:themeFillShade="D9"/>
            <w:noWrap/>
            <w:vAlign w:val="center"/>
          </w:tcPr>
          <w:p>
            <w:pPr>
              <w:keepNext w:val="0"/>
              <w:keepLines w:val="0"/>
              <w:widowControl/>
              <w:suppressLineNumbers w:val="0"/>
              <w:spacing w:before="0" w:beforeAutospacing="0" w:after="0" w:afterAutospacing="0"/>
              <w:ind w:left="-12" w:leftChars="-5" w:right="-12" w:rightChars="-5"/>
              <w:rPr>
                <w:rFonts w:hint="default" w:ascii="Times New Roman" w:hAnsi="Times New Roman" w:cs="Times New Roman"/>
                <w:b/>
                <w:sz w:val="18"/>
                <w:szCs w:val="18"/>
              </w:rPr>
            </w:pPr>
            <w:r>
              <w:rPr>
                <w:rFonts w:hint="default" w:ascii="Times New Roman" w:hAnsi="Times New Roman" w:cs="Times New Roman"/>
                <w:b/>
                <w:sz w:val="18"/>
                <w:szCs w:val="18"/>
              </w:rPr>
              <w:t>公司独立董事对日常关联交易实际发生情况与预计存在较大差异的说明</w:t>
            </w:r>
          </w:p>
        </w:tc>
        <w:tc>
          <w:tcPr>
            <w:tcW w:w="3137" w:type="pct"/>
            <w:gridSpan w:val="5"/>
            <w:shd w:val="clear" w:color="auto" w:fill="FFFFFF" w:themeFill="background1"/>
            <w:noWrap/>
            <w:vAlign w:val="center"/>
          </w:tcPr>
          <w:p>
            <w:pPr>
              <w:keepNext w:val="0"/>
              <w:keepLines w:val="0"/>
              <w:widowControl/>
              <w:suppressLineNumbers w:val="0"/>
              <w:spacing w:before="0" w:beforeAutospacing="0" w:after="0" w:afterAutospacing="0"/>
              <w:ind w:left="-12" w:leftChars="-5" w:right="-12" w:rightChars="-5"/>
              <w:jc w:val="both"/>
              <w:rPr>
                <w:rFonts w:hint="default" w:ascii="Times New Roman" w:hAnsi="Times New Roman" w:cs="Times New Roman"/>
                <w:sz w:val="18"/>
                <w:szCs w:val="18"/>
              </w:rPr>
            </w:pPr>
            <w:r>
              <w:rPr>
                <w:rFonts w:hint="default" w:ascii="Times New Roman" w:hAnsi="Times New Roman" w:cs="Times New Roman"/>
                <w:sz w:val="18"/>
                <w:szCs w:val="18"/>
              </w:rPr>
              <w:t>公司董事会对公司202</w:t>
            </w:r>
            <w:r>
              <w:rPr>
                <w:rFonts w:hint="default" w:ascii="Times New Roman" w:hAnsi="Times New Roman" w:cs="Times New Roman"/>
                <w:sz w:val="18"/>
                <w:szCs w:val="18"/>
                <w:lang w:val="en-US" w:eastAsia="zh-CN"/>
              </w:rPr>
              <w:t>2</w:t>
            </w:r>
            <w:r>
              <w:rPr>
                <w:rFonts w:hint="default" w:ascii="Times New Roman" w:hAnsi="Times New Roman" w:cs="Times New Roman"/>
                <w:sz w:val="18"/>
                <w:szCs w:val="18"/>
              </w:rPr>
              <w:t>年度关联交易实际发生情况的审核确认程序合法合规，对日常关联交易实际发生情况与预计存在较大差异的说明符合市场和公司的实际情况；已发生日常关联交易均为公司正常经营业务所需的交易，关联交易事项公平、公正，交易价格公允，不影响公司独立性，不存在损害公司及其股东、特别是中小股东的利益的行为。</w:t>
            </w:r>
          </w:p>
        </w:tc>
      </w:tr>
    </w:tbl>
    <w:p>
      <w:pPr>
        <w:pStyle w:val="21"/>
        <w:adjustRightInd w:val="0"/>
        <w:snapToGrid w:val="0"/>
        <w:spacing w:line="360" w:lineRule="auto"/>
        <w:ind w:firstLine="360"/>
        <w:outlineLvl w:val="0"/>
        <w:rPr>
          <w:rFonts w:hint="default" w:ascii="Times New Roman" w:hAnsi="Times New Roman" w:cs="Times New Roman"/>
          <w:sz w:val="18"/>
          <w:szCs w:val="18"/>
        </w:rPr>
      </w:pPr>
      <w:r>
        <w:rPr>
          <w:rFonts w:hint="default" w:ascii="Times New Roman" w:hAnsi="Times New Roman" w:cs="Times New Roman"/>
          <w:sz w:val="18"/>
          <w:szCs w:val="18"/>
        </w:rPr>
        <w:t>注：实际发生额与预计金额差异（%）是指实际发生额/预计金额。</w:t>
      </w:r>
    </w:p>
    <w:p>
      <w:pPr>
        <w:widowControl w:val="0"/>
        <w:adjustRightInd w:val="0"/>
        <w:snapToGrid w:val="0"/>
        <w:spacing w:line="360" w:lineRule="auto"/>
        <w:ind w:firstLine="480" w:firstLineChars="200"/>
        <w:jc w:val="both"/>
        <w:rPr>
          <w:rFonts w:hint="default" w:ascii="Times New Roman" w:hAnsi="Times New Roman" w:cs="Times New Roman"/>
          <w:bCs/>
          <w:kern w:val="0"/>
          <w:sz w:val="24"/>
        </w:rPr>
      </w:pPr>
      <w:r>
        <w:rPr>
          <w:rFonts w:hint="default" w:ascii="Times New Roman" w:hAnsi="Times New Roman" w:cs="Times New Roman"/>
          <w:bCs/>
          <w:kern w:val="0"/>
          <w:sz w:val="24"/>
          <w:lang w:val="en-US" w:eastAsia="zh-CN"/>
        </w:rPr>
        <w:t>公司</w:t>
      </w:r>
      <w:r>
        <w:rPr>
          <w:rFonts w:hint="default" w:ascii="Times New Roman" w:hAnsi="Times New Roman" w:cs="Times New Roman"/>
          <w:bCs/>
          <w:kern w:val="0"/>
          <w:sz w:val="24"/>
        </w:rPr>
        <w:t>出租办公场所给中广核新能源湖北有限公司</w:t>
      </w:r>
      <w:r>
        <w:rPr>
          <w:rFonts w:hint="eastAsia" w:ascii="Times New Roman" w:hAnsi="Times New Roman" w:cs="Times New Roman"/>
          <w:bCs/>
          <w:kern w:val="0"/>
          <w:sz w:val="24"/>
          <w:lang w:eastAsia="zh-CN"/>
        </w:rPr>
        <w:t>、</w:t>
      </w:r>
      <w:r>
        <w:rPr>
          <w:rFonts w:hint="default" w:ascii="Times New Roman" w:hAnsi="Times New Roman" w:cs="Times New Roman"/>
          <w:bCs/>
          <w:kern w:val="0"/>
          <w:sz w:val="24"/>
          <w:lang w:val="en-US" w:eastAsia="zh-CN"/>
        </w:rPr>
        <w:t>新增接受</w:t>
      </w:r>
      <w:r>
        <w:rPr>
          <w:rFonts w:hint="default" w:ascii="Times New Roman" w:hAnsi="Times New Roman" w:cs="Times New Roman"/>
          <w:bCs/>
          <w:kern w:val="0"/>
          <w:sz w:val="24"/>
        </w:rPr>
        <w:t>中国大连国际经济技术合作集团有限公司</w:t>
      </w:r>
      <w:r>
        <w:rPr>
          <w:rFonts w:hint="default" w:ascii="Times New Roman" w:hAnsi="Times New Roman" w:cs="Times New Roman"/>
          <w:bCs/>
          <w:kern w:val="0"/>
          <w:sz w:val="24"/>
          <w:lang w:val="en-US" w:eastAsia="zh-CN"/>
        </w:rPr>
        <w:t>的船舶</w:t>
      </w:r>
      <w:r>
        <w:rPr>
          <w:rFonts w:hint="default" w:ascii="Times New Roman" w:hAnsi="Times New Roman" w:cs="Times New Roman"/>
          <w:bCs/>
          <w:kern w:val="0"/>
          <w:sz w:val="24"/>
        </w:rPr>
        <w:t>委托管理费668万元</w:t>
      </w:r>
      <w:r>
        <w:rPr>
          <w:rFonts w:hint="eastAsia" w:ascii="Times New Roman" w:hAnsi="Times New Roman" w:cs="Times New Roman"/>
          <w:bCs/>
          <w:kern w:val="0"/>
          <w:sz w:val="24"/>
          <w:lang w:eastAsia="zh-CN"/>
        </w:rPr>
        <w:t>、</w:t>
      </w:r>
      <w:r>
        <w:rPr>
          <w:rFonts w:hint="default" w:ascii="Times New Roman" w:hAnsi="Times New Roman" w:cs="Times New Roman"/>
          <w:bCs/>
          <w:kern w:val="0"/>
          <w:sz w:val="24"/>
        </w:rPr>
        <w:t>向中国大连国际经济技术合作集团有限公司</w:t>
      </w:r>
      <w:r>
        <w:rPr>
          <w:rFonts w:hint="default" w:ascii="Times New Roman" w:hAnsi="Times New Roman" w:cs="Times New Roman"/>
          <w:bCs/>
          <w:kern w:val="0"/>
          <w:sz w:val="24"/>
          <w:lang w:val="en-US" w:eastAsia="zh-CN"/>
        </w:rPr>
        <w:t>及其下属子公司销售产品、商品</w:t>
      </w:r>
      <w:r>
        <w:rPr>
          <w:rFonts w:hint="eastAsia" w:ascii="Times New Roman" w:hAnsi="Times New Roman" w:cs="Times New Roman"/>
          <w:bCs/>
          <w:kern w:val="0"/>
          <w:sz w:val="24"/>
          <w:lang w:val="en-US" w:eastAsia="zh-CN"/>
        </w:rPr>
        <w:t>、</w:t>
      </w:r>
      <w:r>
        <w:rPr>
          <w:rFonts w:hint="default" w:ascii="Times New Roman" w:hAnsi="Times New Roman" w:cs="Times New Roman"/>
          <w:bCs/>
          <w:kern w:val="0"/>
          <w:sz w:val="24"/>
        </w:rPr>
        <w:t>向中国大连国际经济技术合作集团有限公司</w:t>
      </w:r>
      <w:r>
        <w:rPr>
          <w:rFonts w:hint="default" w:ascii="Times New Roman" w:hAnsi="Times New Roman" w:cs="Times New Roman"/>
          <w:bCs/>
          <w:kern w:val="0"/>
          <w:sz w:val="24"/>
          <w:lang w:val="en-US" w:eastAsia="zh-CN"/>
        </w:rPr>
        <w:t>提供租赁</w:t>
      </w:r>
      <w:r>
        <w:rPr>
          <w:rFonts w:hint="eastAsia" w:ascii="Times New Roman" w:hAnsi="Times New Roman" w:cs="Times New Roman"/>
          <w:bCs/>
          <w:kern w:val="0"/>
          <w:sz w:val="24"/>
          <w:lang w:val="en-US" w:eastAsia="zh-CN"/>
        </w:rPr>
        <w:t>、</w:t>
      </w:r>
      <w:r>
        <w:rPr>
          <w:rFonts w:hint="default" w:ascii="Times New Roman" w:hAnsi="Times New Roman" w:cs="Times New Roman"/>
          <w:bCs/>
          <w:kern w:val="0"/>
          <w:sz w:val="24"/>
          <w:lang w:val="en-US" w:eastAsia="zh-CN"/>
        </w:rPr>
        <w:t>接受其</w:t>
      </w:r>
      <w:r>
        <w:rPr>
          <w:rFonts w:hint="default" w:ascii="Times New Roman" w:hAnsi="Times New Roman" w:cs="Times New Roman"/>
          <w:bCs/>
          <w:kern w:val="0"/>
          <w:sz w:val="24"/>
        </w:rPr>
        <w:t>租赁及</w:t>
      </w:r>
      <w:r>
        <w:rPr>
          <w:rFonts w:hint="default" w:ascii="Times New Roman" w:hAnsi="Times New Roman" w:cs="Times New Roman"/>
          <w:bCs/>
          <w:kern w:val="0"/>
          <w:sz w:val="24"/>
          <w:lang w:val="en-US" w:eastAsia="zh-CN"/>
        </w:rPr>
        <w:t>接受其</w:t>
      </w:r>
      <w:r>
        <w:rPr>
          <w:rFonts w:hint="default" w:ascii="Times New Roman" w:hAnsi="Times New Roman" w:cs="Times New Roman"/>
          <w:bCs/>
          <w:kern w:val="0"/>
          <w:sz w:val="24"/>
        </w:rPr>
        <w:t>物业</w:t>
      </w:r>
      <w:r>
        <w:rPr>
          <w:rFonts w:hint="default" w:ascii="Times New Roman" w:hAnsi="Times New Roman" w:cs="Times New Roman"/>
          <w:bCs/>
          <w:kern w:val="0"/>
          <w:sz w:val="24"/>
          <w:lang w:val="en-US" w:eastAsia="zh-CN"/>
        </w:rPr>
        <w:t>服务</w:t>
      </w:r>
      <w:r>
        <w:rPr>
          <w:rFonts w:hint="default" w:ascii="Times New Roman" w:hAnsi="Times New Roman" w:cs="Times New Roman"/>
          <w:bCs/>
          <w:kern w:val="0"/>
          <w:sz w:val="24"/>
        </w:rPr>
        <w:t>已作为新增关联交易经过公司总经理审批。</w:t>
      </w:r>
    </w:p>
    <w:p>
      <w:pPr>
        <w:widowControl w:val="0"/>
        <w:adjustRightInd w:val="0"/>
        <w:snapToGrid w:val="0"/>
        <w:spacing w:line="360" w:lineRule="auto"/>
        <w:ind w:firstLine="480" w:firstLineChars="200"/>
        <w:jc w:val="both"/>
        <w:rPr>
          <w:rFonts w:hint="default" w:ascii="Times New Roman" w:hAnsi="Times New Roman" w:cs="Times New Roman"/>
          <w:bCs/>
          <w:kern w:val="0"/>
          <w:sz w:val="24"/>
        </w:rPr>
      </w:pPr>
      <w:r>
        <w:rPr>
          <w:rFonts w:hint="default" w:ascii="Times New Roman" w:hAnsi="Times New Roman" w:cs="Times New Roman"/>
          <w:bCs/>
          <w:kern w:val="0"/>
          <w:sz w:val="24"/>
        </w:rPr>
        <w:t>根据《深圳证券交易所上市公司自律监管指引第7号——交易与关联交易》规定，上市公司对日常关联交易进行预计，在适用关于实际执行超出预计金额的规定时，以同一控制下的各个关联人与上市公司实际发生的各类关联交易合计金额与对应的预计总金额进行比较。因此，202</w:t>
      </w:r>
      <w:r>
        <w:rPr>
          <w:rFonts w:hint="default" w:ascii="Times New Roman" w:hAnsi="Times New Roman" w:cs="Times New Roman"/>
          <w:bCs/>
          <w:kern w:val="0"/>
          <w:sz w:val="24"/>
          <w:lang w:val="en-US" w:eastAsia="zh-CN"/>
        </w:rPr>
        <w:t>2</w:t>
      </w:r>
      <w:r>
        <w:rPr>
          <w:rFonts w:hint="default" w:ascii="Times New Roman" w:hAnsi="Times New Roman" w:cs="Times New Roman"/>
          <w:bCs/>
          <w:kern w:val="0"/>
          <w:sz w:val="24"/>
        </w:rPr>
        <w:t>年报告期内的日常关联交易执行情况未超出审批权限。</w:t>
      </w:r>
    </w:p>
    <w:p>
      <w:pPr>
        <w:pStyle w:val="21"/>
        <w:adjustRightInd w:val="0"/>
        <w:snapToGrid w:val="0"/>
        <w:spacing w:line="360" w:lineRule="auto"/>
        <w:ind w:firstLine="482"/>
        <w:outlineLvl w:val="0"/>
        <w:rPr>
          <w:rFonts w:hint="default" w:ascii="Times New Roman" w:hAnsi="Times New Roman" w:cs="Times New Roman"/>
          <w:b/>
          <w:sz w:val="24"/>
        </w:rPr>
      </w:pPr>
      <w:r>
        <w:rPr>
          <w:rFonts w:hint="default" w:ascii="Times New Roman" w:hAnsi="Times New Roman" w:cs="Times New Roman"/>
          <w:b/>
          <w:sz w:val="24"/>
        </w:rPr>
        <w:t>二、关联人介绍和关联关系</w:t>
      </w: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rPr>
        <w:t>（一）中国广核集团有限公司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1、基本情况</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企业名称：中国广核集团有限公司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公司类型：有限责任公司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法定代表人：杨长利</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注册资本：1,487,337万</w:t>
      </w:r>
      <w:r>
        <w:rPr>
          <w:rFonts w:hint="eastAsia" w:ascii="Times New Roman" w:hAnsi="Times New Roman" w:cs="Times New Roman"/>
          <w:kern w:val="2"/>
          <w:sz w:val="24"/>
          <w:szCs w:val="24"/>
          <w:lang w:val="en-US" w:eastAsia="zh-CN"/>
        </w:rPr>
        <w:t>元</w:t>
      </w:r>
      <w:r>
        <w:rPr>
          <w:rFonts w:hint="default" w:ascii="Times New Roman" w:hAnsi="Times New Roman" w:eastAsia="宋体" w:cs="Times New Roman"/>
          <w:kern w:val="2"/>
          <w:sz w:val="24"/>
          <w:szCs w:val="24"/>
        </w:rPr>
        <w:t>人民币</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住所：深圳市福田区深南大道2002号中广核大厦南楼33楼</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经营范围：从事以核电和其他清洁能源为主的开发、投资建设、经营和管理；组织电力（热力）生产和销售；开展核电技术研发、咨询服务；开展以核电为主的工程承包与咨询服务，核电站在役、退役服务；开展核技术应用、以清洁能源为主的能源资源综合利用、节能环保等相关产业投资建设与经营管理。开展天然铀资源的勘查、境外天然铀资源的开发及相关贸易与服务。开展核废料处置及乏燃料中间贮存、运输、处理等业务。从事与核电开发相关的国内外投融资业务，从事清洁能源产业配套服务及现代综合服务业。</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主要财务数据（202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年末/20</w:t>
      </w:r>
      <w:r>
        <w:rPr>
          <w:rFonts w:hint="default" w:ascii="Times New Roman" w:hAnsi="Times New Roman" w:cs="Times New Roman"/>
          <w:kern w:val="2"/>
          <w:sz w:val="24"/>
          <w:szCs w:val="24"/>
          <w:lang w:val="en-US" w:eastAsia="zh-CN"/>
        </w:rPr>
        <w:t>2</w:t>
      </w:r>
      <w:r>
        <w:rPr>
          <w:rFonts w:hint="eastAsia"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年度）：总资产</w:t>
      </w:r>
      <w:r>
        <w:rPr>
          <w:rFonts w:hint="default" w:ascii="Times New Roman" w:hAnsi="Times New Roman" w:eastAsia="宋体" w:cs="Times New Roman"/>
          <w:kern w:val="2"/>
          <w:sz w:val="24"/>
          <w:szCs w:val="24"/>
          <w:lang w:val="en-US" w:eastAsia="zh-CN"/>
        </w:rPr>
        <w:t>91,265,773.22</w:t>
      </w:r>
      <w:r>
        <w:rPr>
          <w:rFonts w:hint="default" w:ascii="Times New Roman" w:hAnsi="Times New Roman" w:eastAsia="宋体" w:cs="Times New Roman"/>
          <w:kern w:val="2"/>
          <w:sz w:val="24"/>
          <w:szCs w:val="24"/>
        </w:rPr>
        <w:t>万元，净资产</w:t>
      </w:r>
      <w:r>
        <w:rPr>
          <w:rFonts w:hint="default" w:ascii="Times New Roman" w:hAnsi="Times New Roman" w:eastAsia="宋体" w:cs="Times New Roman"/>
          <w:kern w:val="2"/>
          <w:sz w:val="24"/>
          <w:szCs w:val="24"/>
          <w:lang w:val="en-US" w:eastAsia="zh-CN"/>
        </w:rPr>
        <w:t>28,976,498.52</w:t>
      </w:r>
      <w:r>
        <w:rPr>
          <w:rFonts w:hint="default" w:ascii="Times New Roman" w:hAnsi="Times New Roman" w:eastAsia="宋体" w:cs="Times New Roman"/>
          <w:kern w:val="2"/>
          <w:sz w:val="24"/>
          <w:szCs w:val="24"/>
        </w:rPr>
        <w:t>万元，</w:t>
      </w:r>
      <w:r>
        <w:rPr>
          <w:rFonts w:hint="default" w:ascii="Times New Roman" w:hAnsi="Times New Roman" w:cs="Times New Roman"/>
          <w:kern w:val="2"/>
          <w:sz w:val="24"/>
          <w:szCs w:val="24"/>
          <w:lang w:val="en-US" w:eastAsia="zh-CN"/>
        </w:rPr>
        <w:t>主营业务</w:t>
      </w:r>
      <w:r>
        <w:rPr>
          <w:rFonts w:hint="default" w:ascii="Times New Roman" w:hAnsi="Times New Roman" w:eastAsia="宋体" w:cs="Times New Roman"/>
          <w:kern w:val="2"/>
          <w:sz w:val="24"/>
          <w:szCs w:val="24"/>
        </w:rPr>
        <w:t>收入</w:t>
      </w:r>
      <w:r>
        <w:rPr>
          <w:rFonts w:hint="default" w:ascii="Times New Roman" w:hAnsi="Times New Roman" w:eastAsia="宋体" w:cs="Times New Roman"/>
          <w:kern w:val="2"/>
          <w:sz w:val="24"/>
          <w:szCs w:val="24"/>
          <w:lang w:val="en-US" w:eastAsia="zh-CN"/>
        </w:rPr>
        <w:t>13,529,612.30</w:t>
      </w:r>
      <w:r>
        <w:rPr>
          <w:rFonts w:hint="default" w:ascii="Times New Roman" w:hAnsi="Times New Roman" w:eastAsia="宋体" w:cs="Times New Roman"/>
          <w:kern w:val="2"/>
          <w:sz w:val="24"/>
          <w:szCs w:val="24"/>
        </w:rPr>
        <w:t>万元，净利润</w:t>
      </w:r>
      <w:r>
        <w:rPr>
          <w:rFonts w:hint="default" w:ascii="Times New Roman" w:hAnsi="Times New Roman" w:eastAsia="宋体" w:cs="Times New Roman"/>
          <w:kern w:val="2"/>
          <w:sz w:val="24"/>
          <w:szCs w:val="24"/>
          <w:lang w:val="en-US" w:eastAsia="zh-CN"/>
        </w:rPr>
        <w:t>2,081,466.59</w:t>
      </w:r>
      <w:r>
        <w:rPr>
          <w:rFonts w:hint="default" w:ascii="Times New Roman" w:hAnsi="Times New Roman" w:eastAsia="宋体" w:cs="Times New Roman"/>
          <w:kern w:val="2"/>
          <w:sz w:val="24"/>
          <w:szCs w:val="24"/>
        </w:rPr>
        <w:t>万元（已经审计）。</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2、与公司的关联关系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中国广核集团有限公司系公司实际控制人，符合《深圳证券交易所股票上市规则》</w:t>
      </w:r>
      <w:r>
        <w:rPr>
          <w:rFonts w:hint="default" w:ascii="Times New Roman" w:hAnsi="Times New Roman" w:eastAsia="宋体" w:cs="Times New Roman"/>
          <w:kern w:val="2"/>
          <w:sz w:val="24"/>
          <w:szCs w:val="24"/>
          <w:lang w:val="en-US" w:eastAsia="zh-CN"/>
        </w:rPr>
        <w:t>6</w:t>
      </w:r>
      <w:r>
        <w:rPr>
          <w:rFonts w:hint="default" w:ascii="Times New Roman" w:hAnsi="Times New Roman" w:eastAsia="宋体" w:cs="Times New Roman"/>
          <w:kern w:val="2"/>
          <w:sz w:val="24"/>
          <w:szCs w:val="24"/>
        </w:rPr>
        <w:t>.</w:t>
      </w:r>
      <w:r>
        <w:rPr>
          <w:rFonts w:hint="default" w:ascii="Times New Roman" w:hAnsi="Times New Roman" w:eastAsia="宋体" w:cs="Times New Roman"/>
          <w:kern w:val="2"/>
          <w:sz w:val="24"/>
          <w:szCs w:val="24"/>
          <w:lang w:val="en-US" w:eastAsia="zh-CN"/>
        </w:rPr>
        <w:t>3</w:t>
      </w:r>
      <w:r>
        <w:rPr>
          <w:rFonts w:hint="default" w:ascii="Times New Roman" w:hAnsi="Times New Roman" w:eastAsia="宋体" w:cs="Times New Roman"/>
          <w:kern w:val="2"/>
          <w:sz w:val="24"/>
          <w:szCs w:val="24"/>
        </w:rPr>
        <w:t>.3条第</w:t>
      </w:r>
      <w:r>
        <w:rPr>
          <w:rFonts w:hint="default" w:ascii="Times New Roman" w:hAnsi="Times New Roman" w:eastAsia="宋体" w:cs="Times New Roman"/>
          <w:kern w:val="2"/>
          <w:sz w:val="24"/>
          <w:szCs w:val="24"/>
          <w:lang w:val="en-US" w:eastAsia="zh-CN"/>
        </w:rPr>
        <w:t>二</w:t>
      </w:r>
      <w:r>
        <w:rPr>
          <w:rFonts w:hint="default" w:ascii="Times New Roman" w:hAnsi="Times New Roman" w:eastAsia="宋体" w:cs="Times New Roman"/>
          <w:kern w:val="2"/>
          <w:sz w:val="24"/>
          <w:szCs w:val="24"/>
        </w:rPr>
        <w:t>款</w:t>
      </w:r>
      <w:r>
        <w:rPr>
          <w:rFonts w:hint="default" w:ascii="Times New Roman" w:hAnsi="Times New Roman" w:eastAsia="宋体" w:cs="Times New Roman"/>
          <w:kern w:val="2"/>
          <w:sz w:val="24"/>
          <w:szCs w:val="24"/>
          <w:lang w:val="en-US" w:eastAsia="zh-CN"/>
        </w:rPr>
        <w:t>第一项</w:t>
      </w:r>
      <w:r>
        <w:rPr>
          <w:rFonts w:hint="default" w:ascii="Times New Roman" w:hAnsi="Times New Roman" w:eastAsia="宋体" w:cs="Times New Roman"/>
          <w:kern w:val="2"/>
          <w:sz w:val="24"/>
          <w:szCs w:val="24"/>
        </w:rPr>
        <w:t>规定的关联关系。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3、履约能力分析</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中国广核集团有限公司不是失信主体，财务状况和经营情况均处于良好状态，关联交易执行情况良好，具备相应履约能力，不存在履约风险。</w:t>
      </w:r>
    </w:p>
    <w:p>
      <w:pPr>
        <w:widowControl w:val="0"/>
        <w:adjustRightInd w:val="0"/>
        <w:snapToGrid w:val="0"/>
        <w:spacing w:line="360" w:lineRule="auto"/>
        <w:ind w:firstLine="482" w:firstLineChars="200"/>
        <w:jc w:val="both"/>
        <w:rPr>
          <w:rFonts w:hint="default" w:ascii="Times New Roman" w:hAnsi="Times New Roman" w:eastAsia="宋体" w:cs="Times New Roman"/>
          <w:b/>
          <w:kern w:val="2"/>
          <w:sz w:val="24"/>
          <w:szCs w:val="24"/>
        </w:rPr>
      </w:pPr>
      <w:r>
        <w:rPr>
          <w:rFonts w:hint="default" w:ascii="Times New Roman" w:hAnsi="Times New Roman" w:eastAsia="宋体" w:cs="Times New Roman"/>
          <w:b/>
          <w:sz w:val="24"/>
          <w:szCs w:val="24"/>
        </w:rPr>
        <w:t>（二）</w:t>
      </w:r>
      <w:r>
        <w:rPr>
          <w:rFonts w:hint="default" w:ascii="Times New Roman" w:hAnsi="Times New Roman" w:eastAsia="宋体" w:cs="Times New Roman"/>
          <w:b/>
          <w:kern w:val="2"/>
          <w:sz w:val="24"/>
          <w:szCs w:val="24"/>
        </w:rPr>
        <w:t>中广核核技术应用有限公司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1、基本情况</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企业名称：中广核核技术应用有限公司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公司类型：有限责任公司（法人独资）</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lang w:val="en-US"/>
        </w:rPr>
      </w:pPr>
      <w:r>
        <w:rPr>
          <w:rFonts w:hint="default" w:ascii="Times New Roman" w:hAnsi="Times New Roman" w:eastAsia="宋体" w:cs="Times New Roman"/>
          <w:kern w:val="2"/>
          <w:sz w:val="24"/>
          <w:szCs w:val="24"/>
        </w:rPr>
        <w:t>法定代表人：</w:t>
      </w:r>
      <w:r>
        <w:rPr>
          <w:rFonts w:hint="default" w:ascii="Times New Roman" w:hAnsi="Times New Roman" w:cs="Times New Roman"/>
          <w:kern w:val="2"/>
          <w:sz w:val="24"/>
          <w:szCs w:val="24"/>
          <w:lang w:val="en-US" w:eastAsia="zh-CN"/>
        </w:rPr>
        <w:t>胡冬明</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注册资本：186,890万</w:t>
      </w:r>
      <w:r>
        <w:rPr>
          <w:rFonts w:hint="eastAsia" w:ascii="Times New Roman" w:hAnsi="Times New Roman" w:cs="Times New Roman"/>
          <w:kern w:val="2"/>
          <w:sz w:val="24"/>
          <w:szCs w:val="24"/>
          <w:lang w:val="en-US" w:eastAsia="zh-CN"/>
        </w:rPr>
        <w:t>元</w:t>
      </w:r>
      <w:r>
        <w:rPr>
          <w:rFonts w:hint="default" w:ascii="Times New Roman" w:hAnsi="Times New Roman" w:eastAsia="宋体" w:cs="Times New Roman"/>
          <w:kern w:val="2"/>
          <w:sz w:val="24"/>
          <w:szCs w:val="24"/>
        </w:rPr>
        <w:t>人民币</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住所：北京市海淀区紫竹院路81号院3号楼13层12A01</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经营范围：技术开发、技术咨询、技术服务；技术进出口、贸易进出口、代理进出口；销售仪器仪表；投资管理、资产管理。（企业依法自主选择经营项目，开展经营活动；依法须经批准的项目，经相关部门批准后依批准的内容开展经营活动；不得从事本市产业政策禁止和限制类项目的经营活动）。</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主要财务数据（202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年末/202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年度）：总资产</w:t>
      </w:r>
      <w:r>
        <w:rPr>
          <w:rFonts w:hint="default" w:ascii="Times New Roman" w:hAnsi="Times New Roman" w:eastAsia="宋体" w:cs="Times New Roman"/>
          <w:kern w:val="2"/>
          <w:sz w:val="24"/>
          <w:szCs w:val="24"/>
          <w:lang w:val="en-US" w:eastAsia="zh-CN"/>
        </w:rPr>
        <w:t>1,380,329.14</w:t>
      </w:r>
      <w:r>
        <w:rPr>
          <w:rFonts w:hint="default" w:ascii="Times New Roman" w:hAnsi="Times New Roman" w:eastAsia="宋体" w:cs="Times New Roman"/>
          <w:kern w:val="2"/>
          <w:sz w:val="24"/>
          <w:szCs w:val="24"/>
        </w:rPr>
        <w:t>万元，净资产</w:t>
      </w:r>
      <w:r>
        <w:rPr>
          <w:rFonts w:hint="default" w:ascii="Times New Roman" w:hAnsi="Times New Roman" w:eastAsia="宋体" w:cs="Times New Roman"/>
          <w:kern w:val="2"/>
          <w:sz w:val="24"/>
          <w:szCs w:val="24"/>
          <w:lang w:val="en-US" w:eastAsia="zh-CN"/>
        </w:rPr>
        <w:t>706,059.21</w:t>
      </w:r>
      <w:r>
        <w:rPr>
          <w:rFonts w:hint="default" w:ascii="Times New Roman" w:hAnsi="Times New Roman" w:eastAsia="宋体" w:cs="Times New Roman"/>
          <w:kern w:val="2"/>
          <w:sz w:val="24"/>
          <w:szCs w:val="24"/>
        </w:rPr>
        <w:t>万元，</w:t>
      </w:r>
      <w:r>
        <w:rPr>
          <w:rFonts w:hint="default" w:ascii="Times New Roman" w:hAnsi="Times New Roman" w:cs="Times New Roman"/>
          <w:kern w:val="2"/>
          <w:sz w:val="24"/>
          <w:szCs w:val="24"/>
          <w:lang w:val="en-US" w:eastAsia="zh-CN"/>
        </w:rPr>
        <w:t>主</w:t>
      </w:r>
      <w:r>
        <w:rPr>
          <w:rFonts w:hint="default" w:ascii="Times New Roman" w:hAnsi="Times New Roman" w:eastAsia="宋体" w:cs="Times New Roman"/>
          <w:kern w:val="2"/>
          <w:sz w:val="24"/>
          <w:szCs w:val="24"/>
        </w:rPr>
        <w:t>营业</w:t>
      </w:r>
      <w:r>
        <w:rPr>
          <w:rFonts w:hint="default" w:ascii="Times New Roman" w:hAnsi="Times New Roman" w:cs="Times New Roman"/>
          <w:kern w:val="2"/>
          <w:sz w:val="24"/>
          <w:szCs w:val="24"/>
          <w:lang w:val="en-US" w:eastAsia="zh-CN"/>
        </w:rPr>
        <w:t>务</w:t>
      </w:r>
      <w:r>
        <w:rPr>
          <w:rFonts w:hint="default" w:ascii="Times New Roman" w:hAnsi="Times New Roman" w:eastAsia="宋体" w:cs="Times New Roman"/>
          <w:kern w:val="2"/>
          <w:sz w:val="24"/>
          <w:szCs w:val="24"/>
        </w:rPr>
        <w:t>收入</w:t>
      </w:r>
      <w:r>
        <w:rPr>
          <w:rFonts w:hint="default" w:ascii="Times New Roman" w:hAnsi="Times New Roman" w:eastAsia="宋体" w:cs="Times New Roman"/>
          <w:kern w:val="2"/>
          <w:sz w:val="24"/>
          <w:szCs w:val="24"/>
          <w:lang w:val="en-US" w:eastAsia="zh-CN"/>
        </w:rPr>
        <w:t>765,621.18</w:t>
      </w:r>
      <w:r>
        <w:rPr>
          <w:rFonts w:hint="default" w:ascii="Times New Roman" w:hAnsi="Times New Roman" w:eastAsia="宋体" w:cs="Times New Roman"/>
          <w:kern w:val="2"/>
          <w:sz w:val="24"/>
          <w:szCs w:val="24"/>
        </w:rPr>
        <w:t>万元，净利润30,992.22万元（</w:t>
      </w:r>
      <w:r>
        <w:rPr>
          <w:rFonts w:hint="default" w:ascii="Times New Roman" w:hAnsi="Times New Roman" w:eastAsia="宋体" w:cs="Times New Roman"/>
          <w:kern w:val="2"/>
          <w:sz w:val="24"/>
          <w:szCs w:val="24"/>
          <w:lang w:val="en-US" w:eastAsia="zh-CN"/>
        </w:rPr>
        <w:t>已</w:t>
      </w:r>
      <w:r>
        <w:rPr>
          <w:rFonts w:hint="default" w:ascii="Times New Roman" w:hAnsi="Times New Roman" w:eastAsia="宋体" w:cs="Times New Roman"/>
          <w:kern w:val="2"/>
          <w:sz w:val="24"/>
          <w:szCs w:val="24"/>
        </w:rPr>
        <w:t>经审计）。</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2、与公司的关联关系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中广核核技术应用有限公司系公司控股股东，符合《深圳证券交易所股票上市规则》</w:t>
      </w:r>
      <w:r>
        <w:rPr>
          <w:rFonts w:hint="default" w:ascii="Times New Roman" w:hAnsi="Times New Roman" w:eastAsia="宋体" w:cs="Times New Roman"/>
          <w:kern w:val="2"/>
          <w:sz w:val="24"/>
          <w:szCs w:val="24"/>
          <w:lang w:val="en-US" w:eastAsia="zh-CN"/>
        </w:rPr>
        <w:t>6</w:t>
      </w:r>
      <w:r>
        <w:rPr>
          <w:rFonts w:hint="default" w:ascii="Times New Roman" w:hAnsi="Times New Roman" w:eastAsia="宋体" w:cs="Times New Roman"/>
          <w:kern w:val="2"/>
          <w:sz w:val="24"/>
          <w:szCs w:val="24"/>
        </w:rPr>
        <w:t>.</w:t>
      </w:r>
      <w:r>
        <w:rPr>
          <w:rFonts w:hint="default" w:ascii="Times New Roman" w:hAnsi="Times New Roman" w:eastAsia="宋体" w:cs="Times New Roman"/>
          <w:kern w:val="2"/>
          <w:sz w:val="24"/>
          <w:szCs w:val="24"/>
          <w:lang w:val="en-US" w:eastAsia="zh-CN"/>
        </w:rPr>
        <w:t>3</w:t>
      </w:r>
      <w:r>
        <w:rPr>
          <w:rFonts w:hint="default" w:ascii="Times New Roman" w:hAnsi="Times New Roman" w:eastAsia="宋体" w:cs="Times New Roman"/>
          <w:kern w:val="2"/>
          <w:sz w:val="24"/>
          <w:szCs w:val="24"/>
        </w:rPr>
        <w:t>.3条第</w:t>
      </w:r>
      <w:r>
        <w:rPr>
          <w:rFonts w:hint="default" w:ascii="Times New Roman" w:hAnsi="Times New Roman" w:eastAsia="宋体" w:cs="Times New Roman"/>
          <w:kern w:val="2"/>
          <w:sz w:val="24"/>
          <w:szCs w:val="24"/>
          <w:lang w:val="en-US" w:eastAsia="zh-CN"/>
        </w:rPr>
        <w:t>二</w:t>
      </w:r>
      <w:r>
        <w:rPr>
          <w:rFonts w:hint="default" w:ascii="Times New Roman" w:hAnsi="Times New Roman" w:eastAsia="宋体" w:cs="Times New Roman"/>
          <w:kern w:val="2"/>
          <w:sz w:val="24"/>
          <w:szCs w:val="24"/>
        </w:rPr>
        <w:t>款</w:t>
      </w:r>
      <w:r>
        <w:rPr>
          <w:rFonts w:hint="default" w:ascii="Times New Roman" w:hAnsi="Times New Roman" w:eastAsia="宋体" w:cs="Times New Roman"/>
          <w:kern w:val="2"/>
          <w:sz w:val="24"/>
          <w:szCs w:val="24"/>
          <w:lang w:val="en-US" w:eastAsia="zh-CN"/>
        </w:rPr>
        <w:t>第一项</w:t>
      </w:r>
      <w:r>
        <w:rPr>
          <w:rFonts w:hint="default" w:ascii="Times New Roman" w:hAnsi="Times New Roman" w:eastAsia="宋体" w:cs="Times New Roman"/>
          <w:kern w:val="2"/>
          <w:sz w:val="24"/>
          <w:szCs w:val="24"/>
        </w:rPr>
        <w:t>规定的关联关系。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3、履约能力分析</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中广核核技术应用有限公司不是失信主体，财务状况和经营情况均处于良好状态，关联交易执行情况良好，具备相应履约能力，不存在履约风险。</w:t>
      </w:r>
    </w:p>
    <w:p>
      <w:pPr>
        <w:pStyle w:val="21"/>
        <w:adjustRightInd w:val="0"/>
        <w:snapToGrid w:val="0"/>
        <w:spacing w:line="360" w:lineRule="auto"/>
        <w:ind w:firstLine="482"/>
        <w:outlineLvl w:val="1"/>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（三）中广核新能源投资（深圳）有限公司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1、基本情况</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企业名称：中广核新能源投资（深圳）有限公司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公司类型：有限责任公司（台港澳法人独资）</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rPr>
        <w:t>法定代表人：</w:t>
      </w:r>
      <w:r>
        <w:rPr>
          <w:rFonts w:hint="default" w:ascii="Times New Roman" w:hAnsi="Times New Roman" w:cs="Times New Roman"/>
          <w:kern w:val="2"/>
          <w:sz w:val="24"/>
          <w:szCs w:val="24"/>
          <w:lang w:val="en-US" w:eastAsia="zh-CN"/>
        </w:rPr>
        <w:t>张志武</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注册资本：64,000万美元</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住所：深圳市前海深港合作区前湾一路1号A栋201室</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经营范围：（1）在国家允许外商投资的领域依法进行投资；（2）受其所投资企业的书面委托（经董事会一致通过），向其所投资企业提供下列服务：①协助或代理其所投资的企业从国内外采购该企业自用的机器设备、办公设备和生产所需的原材料、元器件、零部件和在国内外销售其所投资企业生产的产品，并提供售后服务；②在外汇管理部门的同意和监督下，在其所投资企业之间平衡外汇；③为其所投资企业提供产品生产、销售和市场开发过程中的技术支持、员工培训、企业内部人事管理等服务；④协助其所投资企业寻求贷款及提供担保。（3）在中国境内设立科研开发中心或部门，从事新产品及高新技术的研究开发，转让其研究开发成果，并提供相应的技术服务；（4）为其投资者提供咨询服务，为其关联公司提供与其投资有关的市场信息、投资政策等咨询服务；（5）承接其母公司和关联公司的服务外包业务。</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主要财务数据（202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年末/202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年度）：总资产</w:t>
      </w:r>
      <w:r>
        <w:rPr>
          <w:rFonts w:hint="default" w:ascii="Times New Roman" w:hAnsi="Times New Roman" w:eastAsia="宋体" w:cs="Times New Roman"/>
          <w:kern w:val="2"/>
          <w:sz w:val="24"/>
          <w:szCs w:val="24"/>
          <w:lang w:val="en-US" w:eastAsia="zh-CN"/>
        </w:rPr>
        <w:t>4,446,540.48</w:t>
      </w:r>
      <w:r>
        <w:rPr>
          <w:rFonts w:hint="default" w:ascii="Times New Roman" w:hAnsi="Times New Roman" w:eastAsia="宋体" w:cs="Times New Roman"/>
          <w:kern w:val="2"/>
          <w:sz w:val="24"/>
          <w:szCs w:val="24"/>
        </w:rPr>
        <w:t>万元，净资产</w:t>
      </w:r>
      <w:r>
        <w:rPr>
          <w:rFonts w:hint="default" w:ascii="Times New Roman" w:hAnsi="Times New Roman" w:eastAsia="宋体" w:cs="Times New Roman"/>
          <w:kern w:val="2"/>
          <w:sz w:val="24"/>
          <w:szCs w:val="24"/>
          <w:lang w:val="en-US" w:eastAsia="zh-CN"/>
        </w:rPr>
        <w:t>843,388.94</w:t>
      </w:r>
      <w:r>
        <w:rPr>
          <w:rFonts w:hint="default" w:ascii="Times New Roman" w:hAnsi="Times New Roman" w:eastAsia="宋体" w:cs="Times New Roman"/>
          <w:kern w:val="2"/>
          <w:sz w:val="24"/>
          <w:szCs w:val="24"/>
        </w:rPr>
        <w:t>万元，</w:t>
      </w:r>
      <w:r>
        <w:rPr>
          <w:rFonts w:hint="default" w:ascii="Times New Roman" w:hAnsi="Times New Roman" w:cs="Times New Roman"/>
          <w:kern w:val="2"/>
          <w:sz w:val="24"/>
          <w:szCs w:val="24"/>
          <w:lang w:val="en-US" w:eastAsia="zh-CN"/>
        </w:rPr>
        <w:t>主营</w:t>
      </w:r>
      <w:r>
        <w:rPr>
          <w:rFonts w:hint="default" w:ascii="Times New Roman" w:hAnsi="Times New Roman" w:eastAsia="宋体" w:cs="Times New Roman"/>
          <w:kern w:val="2"/>
          <w:sz w:val="24"/>
          <w:szCs w:val="24"/>
        </w:rPr>
        <w:t>业</w:t>
      </w:r>
      <w:r>
        <w:rPr>
          <w:rFonts w:hint="default" w:ascii="Times New Roman" w:hAnsi="Times New Roman" w:cs="Times New Roman"/>
          <w:kern w:val="2"/>
          <w:sz w:val="24"/>
          <w:szCs w:val="24"/>
          <w:lang w:val="en-US" w:eastAsia="zh-CN"/>
        </w:rPr>
        <w:t>务</w:t>
      </w:r>
      <w:r>
        <w:rPr>
          <w:rFonts w:hint="default" w:ascii="Times New Roman" w:hAnsi="Times New Roman" w:eastAsia="宋体" w:cs="Times New Roman"/>
          <w:kern w:val="2"/>
          <w:sz w:val="24"/>
          <w:szCs w:val="24"/>
        </w:rPr>
        <w:t>收入</w:t>
      </w:r>
      <w:r>
        <w:rPr>
          <w:rFonts w:hint="default" w:ascii="Times New Roman" w:hAnsi="Times New Roman" w:eastAsia="宋体" w:cs="Times New Roman"/>
          <w:kern w:val="2"/>
          <w:sz w:val="24"/>
          <w:szCs w:val="24"/>
          <w:lang w:val="en-US" w:eastAsia="zh-CN"/>
        </w:rPr>
        <w:t>560,771.38</w:t>
      </w:r>
      <w:r>
        <w:rPr>
          <w:rFonts w:hint="default" w:ascii="Times New Roman" w:hAnsi="Times New Roman" w:eastAsia="宋体" w:cs="Times New Roman"/>
          <w:kern w:val="2"/>
          <w:sz w:val="24"/>
          <w:szCs w:val="24"/>
        </w:rPr>
        <w:t>万元，净利润</w:t>
      </w:r>
      <w:r>
        <w:rPr>
          <w:rFonts w:hint="default" w:ascii="Times New Roman" w:hAnsi="Times New Roman" w:eastAsia="宋体" w:cs="Times New Roman"/>
          <w:kern w:val="2"/>
          <w:sz w:val="24"/>
          <w:szCs w:val="24"/>
          <w:lang w:val="en-US" w:eastAsia="zh-CN"/>
        </w:rPr>
        <w:t>154,124.82</w:t>
      </w:r>
      <w:r>
        <w:rPr>
          <w:rFonts w:hint="default" w:ascii="Times New Roman" w:hAnsi="Times New Roman" w:eastAsia="宋体" w:cs="Times New Roman"/>
          <w:kern w:val="2"/>
          <w:sz w:val="24"/>
          <w:szCs w:val="24"/>
        </w:rPr>
        <w:t>万元（已经审计）。</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2、与公司的关联关系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中广核新能源投资（深圳）有限公司系公司实际控制人中国广核集团有限公司控制的公司，符合《深圳证券交易所股票上市规则》</w:t>
      </w:r>
      <w:r>
        <w:rPr>
          <w:rFonts w:hint="default" w:ascii="Times New Roman" w:hAnsi="Times New Roman" w:eastAsia="宋体" w:cs="Times New Roman"/>
          <w:kern w:val="2"/>
          <w:sz w:val="24"/>
          <w:szCs w:val="24"/>
          <w:lang w:val="en-US" w:eastAsia="zh-CN"/>
        </w:rPr>
        <w:t>6</w:t>
      </w:r>
      <w:r>
        <w:rPr>
          <w:rFonts w:hint="default" w:ascii="Times New Roman" w:hAnsi="Times New Roman" w:eastAsia="宋体" w:cs="Times New Roman"/>
          <w:kern w:val="2"/>
          <w:sz w:val="24"/>
          <w:szCs w:val="24"/>
        </w:rPr>
        <w:t>.</w:t>
      </w:r>
      <w:r>
        <w:rPr>
          <w:rFonts w:hint="default" w:ascii="Times New Roman" w:hAnsi="Times New Roman" w:eastAsia="宋体" w:cs="Times New Roman"/>
          <w:kern w:val="2"/>
          <w:sz w:val="24"/>
          <w:szCs w:val="24"/>
          <w:lang w:val="en-US" w:eastAsia="zh-CN"/>
        </w:rPr>
        <w:t>3</w:t>
      </w:r>
      <w:r>
        <w:rPr>
          <w:rFonts w:hint="default" w:ascii="Times New Roman" w:hAnsi="Times New Roman" w:eastAsia="宋体" w:cs="Times New Roman"/>
          <w:kern w:val="2"/>
          <w:sz w:val="24"/>
          <w:szCs w:val="24"/>
        </w:rPr>
        <w:t>.3条第</w:t>
      </w:r>
      <w:r>
        <w:rPr>
          <w:rFonts w:hint="default" w:ascii="Times New Roman" w:hAnsi="Times New Roman" w:eastAsia="宋体" w:cs="Times New Roman"/>
          <w:kern w:val="2"/>
          <w:sz w:val="24"/>
          <w:szCs w:val="24"/>
          <w:lang w:val="en-US" w:eastAsia="zh-CN"/>
        </w:rPr>
        <w:t>二</w:t>
      </w:r>
      <w:r>
        <w:rPr>
          <w:rFonts w:hint="default" w:ascii="Times New Roman" w:hAnsi="Times New Roman" w:eastAsia="宋体" w:cs="Times New Roman"/>
          <w:kern w:val="2"/>
          <w:sz w:val="24"/>
          <w:szCs w:val="24"/>
        </w:rPr>
        <w:t>款</w:t>
      </w:r>
      <w:r>
        <w:rPr>
          <w:rFonts w:hint="default" w:ascii="Times New Roman" w:hAnsi="Times New Roman" w:eastAsia="宋体" w:cs="Times New Roman"/>
          <w:kern w:val="2"/>
          <w:sz w:val="24"/>
          <w:szCs w:val="24"/>
          <w:lang w:val="en-US" w:eastAsia="zh-CN"/>
        </w:rPr>
        <w:t>第二项</w:t>
      </w:r>
      <w:r>
        <w:rPr>
          <w:rFonts w:hint="default" w:ascii="Times New Roman" w:hAnsi="Times New Roman" w:eastAsia="宋体" w:cs="Times New Roman"/>
          <w:kern w:val="2"/>
          <w:sz w:val="24"/>
          <w:szCs w:val="24"/>
        </w:rPr>
        <w:t>规定的关联关系。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3、履约能力分析</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中广核新能源投资（深圳）有限公司不是失信主体，财务状况和经营情况均处于良好状态，关联交易执行情况良好，具备相应履约能力，不存在履约风险。</w:t>
      </w:r>
    </w:p>
    <w:p>
      <w:pPr>
        <w:pStyle w:val="21"/>
        <w:adjustRightInd w:val="0"/>
        <w:snapToGrid w:val="0"/>
        <w:spacing w:line="360" w:lineRule="auto"/>
        <w:ind w:firstLine="482"/>
        <w:outlineLvl w:val="1"/>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w:t>
      </w:r>
      <w:r>
        <w:rPr>
          <w:rFonts w:hint="default" w:ascii="Times New Roman" w:hAnsi="Times New Roman" w:cs="Times New Roman"/>
          <w:b/>
          <w:sz w:val="24"/>
          <w:szCs w:val="24"/>
          <w:lang w:val="en-US" w:eastAsia="zh-CN"/>
        </w:rPr>
        <w:t>四</w:t>
      </w:r>
      <w:r>
        <w:rPr>
          <w:rFonts w:hint="default" w:ascii="Times New Roman" w:hAnsi="Times New Roman" w:eastAsia="宋体" w:cs="Times New Roman"/>
          <w:b/>
          <w:sz w:val="24"/>
          <w:szCs w:val="24"/>
        </w:rPr>
        <w:t>）中国大连国际经济技术合作集团有限公司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1、基本情况</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企业名称：中国大连国际经济技术合作集团有限公司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公司类型：其他有限责任公司</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法定代表人：朱明义</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注册资本：40,262万</w:t>
      </w:r>
      <w:r>
        <w:rPr>
          <w:rFonts w:hint="eastAsia" w:ascii="Times New Roman" w:hAnsi="Times New Roman" w:cs="Times New Roman"/>
          <w:kern w:val="2"/>
          <w:sz w:val="24"/>
          <w:szCs w:val="24"/>
          <w:lang w:val="en-US" w:eastAsia="zh-CN"/>
        </w:rPr>
        <w:t>元</w:t>
      </w:r>
      <w:r>
        <w:rPr>
          <w:rFonts w:hint="default" w:ascii="Times New Roman" w:hAnsi="Times New Roman" w:eastAsia="宋体" w:cs="Times New Roman"/>
          <w:kern w:val="2"/>
          <w:sz w:val="24"/>
          <w:szCs w:val="24"/>
        </w:rPr>
        <w:t>人民币</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住所：辽宁省大连市西岗区黄河路219号</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经营范围：许可项目：房屋建筑和市政基础设施项目工程总承包，各类工程建设活动，对外劳务合作，海员外派业务，劳务派遣服务，货物进出口，进出口代理，危险化学品经营，成品油批发（限危险化学品），原油批发（依法须经批准的项目，经相关部门批准后方可开展经营活动，具体经营项目以审批结果为准）一般项目：对外承包工程，土石方工程施工，工程管理服务，建筑工程机械与设备租赁，从事国际集装箱船、普通货船运输，国际货物运输代理，运输设备租赁服务，国际船舶管理业务，汽车新车销售，汽车零配件批发，新能源汽车整车销售，机械设备销售，电气机械设备销售，电子专用设备销售，信息安全设备销售，管道运输设备销售，电子元器件与机电组件设备销售，制冷、空调设备销售，数控机床销售，光通信设备销售，环境监测专用仪器仪表销售，环境保护专用设备销售，特种设备销售，建筑材料销售，五金产品批发，针纺织品及原料销售，服装服饰批发，日用百货销售，石油制品销售（不含危险化学品），化工产品销售（不含许可类化工产品），合成材料销售，肥料销售，成品油批发（不含危险化学品），润滑油销售，金属矿石销售，煤炭及制品销售，医护人员防护用品批发，第一类医疗器械销售，劳动保护用品销售，水产品批发，农副产品销售，食用农产品批发，饲料原料销售，销售代理，技术服务、技术开发、技术咨询、技术交流、技术转让、技术推广，信息咨询服务（不含许可类信息咨询服务），住房租赁，非居住房地产租赁，物业管理（除依法须经批准的项目外，凭营业执照依法自主开展经营活动）。</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主要财务数据（202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年末/202</w:t>
      </w:r>
      <w:r>
        <w:rPr>
          <w:rFonts w:hint="default" w:ascii="Times New Roman" w:hAnsi="Times New Roman" w:cs="Times New Roman"/>
          <w:kern w:val="2"/>
          <w:sz w:val="24"/>
          <w:szCs w:val="24"/>
          <w:lang w:val="en-US" w:eastAsia="zh-CN"/>
        </w:rPr>
        <w:t>2</w:t>
      </w:r>
      <w:r>
        <w:rPr>
          <w:rFonts w:hint="default" w:ascii="Times New Roman" w:hAnsi="Times New Roman" w:eastAsia="宋体" w:cs="Times New Roman"/>
          <w:kern w:val="2"/>
          <w:sz w:val="24"/>
          <w:szCs w:val="24"/>
        </w:rPr>
        <w:t>年度）：总资产</w:t>
      </w:r>
      <w:r>
        <w:rPr>
          <w:rFonts w:hint="default" w:ascii="Times New Roman" w:hAnsi="Times New Roman" w:eastAsia="宋体" w:cs="Times New Roman"/>
          <w:kern w:val="2"/>
          <w:sz w:val="24"/>
          <w:szCs w:val="24"/>
          <w:lang w:val="en-US" w:eastAsia="zh-CN"/>
        </w:rPr>
        <w:t>410,038.71</w:t>
      </w:r>
      <w:r>
        <w:rPr>
          <w:rFonts w:hint="default" w:ascii="Times New Roman" w:hAnsi="Times New Roman" w:eastAsia="宋体" w:cs="Times New Roman"/>
          <w:kern w:val="2"/>
          <w:sz w:val="24"/>
          <w:szCs w:val="24"/>
        </w:rPr>
        <w:t>万元，净资产</w:t>
      </w:r>
      <w:r>
        <w:rPr>
          <w:rFonts w:hint="default" w:ascii="Times New Roman" w:hAnsi="Times New Roman" w:eastAsia="宋体" w:cs="Times New Roman"/>
          <w:kern w:val="2"/>
          <w:sz w:val="24"/>
          <w:szCs w:val="24"/>
          <w:lang w:val="en-US" w:eastAsia="zh-CN"/>
        </w:rPr>
        <w:t>14,981.60</w:t>
      </w:r>
      <w:r>
        <w:rPr>
          <w:rFonts w:hint="default" w:ascii="Times New Roman" w:hAnsi="Times New Roman" w:eastAsia="宋体" w:cs="Times New Roman"/>
          <w:kern w:val="2"/>
          <w:sz w:val="24"/>
          <w:szCs w:val="24"/>
        </w:rPr>
        <w:t>万元，</w:t>
      </w:r>
      <w:r>
        <w:rPr>
          <w:rFonts w:hint="default" w:ascii="Times New Roman" w:hAnsi="Times New Roman" w:cs="Times New Roman"/>
          <w:kern w:val="2"/>
          <w:sz w:val="24"/>
          <w:szCs w:val="24"/>
          <w:lang w:val="en-US" w:eastAsia="zh-CN"/>
        </w:rPr>
        <w:t>主营业务收入</w:t>
      </w:r>
      <w:r>
        <w:rPr>
          <w:rFonts w:hint="default" w:ascii="Times New Roman" w:hAnsi="Times New Roman" w:eastAsia="宋体" w:cs="Times New Roman"/>
          <w:kern w:val="2"/>
          <w:sz w:val="24"/>
          <w:szCs w:val="24"/>
          <w:lang w:val="en-US" w:eastAsia="zh-CN"/>
        </w:rPr>
        <w:t>60,497.44</w:t>
      </w:r>
      <w:r>
        <w:rPr>
          <w:rFonts w:hint="default" w:ascii="Times New Roman" w:hAnsi="Times New Roman" w:eastAsia="宋体" w:cs="Times New Roman"/>
          <w:kern w:val="2"/>
          <w:sz w:val="24"/>
          <w:szCs w:val="24"/>
        </w:rPr>
        <w:t>万元，净利润</w:t>
      </w:r>
      <w:r>
        <w:rPr>
          <w:rFonts w:hint="default" w:ascii="Times New Roman" w:hAnsi="Times New Roman" w:eastAsia="宋体" w:cs="Times New Roman"/>
          <w:kern w:val="2"/>
          <w:sz w:val="24"/>
          <w:szCs w:val="24"/>
          <w:lang w:val="en-US" w:eastAsia="zh-CN"/>
        </w:rPr>
        <w:t>-25,023.77</w:t>
      </w:r>
      <w:r>
        <w:rPr>
          <w:rFonts w:hint="default" w:ascii="Times New Roman" w:hAnsi="Times New Roman" w:eastAsia="宋体" w:cs="Times New Roman"/>
          <w:kern w:val="2"/>
          <w:sz w:val="24"/>
          <w:szCs w:val="24"/>
        </w:rPr>
        <w:t>万元（</w:t>
      </w:r>
      <w:r>
        <w:rPr>
          <w:rFonts w:hint="default" w:ascii="Times New Roman" w:hAnsi="Times New Roman" w:eastAsia="宋体" w:cs="Times New Roman"/>
          <w:kern w:val="2"/>
          <w:sz w:val="24"/>
          <w:szCs w:val="24"/>
          <w:highlight w:val="none"/>
        </w:rPr>
        <w:t>已经审计</w:t>
      </w:r>
      <w:r>
        <w:rPr>
          <w:rFonts w:hint="default" w:ascii="Times New Roman" w:hAnsi="Times New Roman" w:eastAsia="宋体" w:cs="Times New Roman"/>
          <w:kern w:val="2"/>
          <w:sz w:val="24"/>
          <w:szCs w:val="24"/>
        </w:rPr>
        <w:t>）。</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2、与公司的关联关系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中国大连国际经济技术合作集团有限公司系持有公司5%以上股份的法人，符合《深圳证券交易所股票上市规则》</w:t>
      </w:r>
      <w:r>
        <w:rPr>
          <w:rFonts w:hint="default" w:ascii="Times New Roman" w:hAnsi="Times New Roman" w:eastAsia="宋体" w:cs="Times New Roman"/>
          <w:kern w:val="2"/>
          <w:sz w:val="24"/>
          <w:szCs w:val="24"/>
          <w:lang w:val="en-US" w:eastAsia="zh-CN"/>
        </w:rPr>
        <w:t>6</w:t>
      </w:r>
      <w:r>
        <w:rPr>
          <w:rFonts w:hint="default" w:ascii="Times New Roman" w:hAnsi="Times New Roman" w:eastAsia="宋体" w:cs="Times New Roman"/>
          <w:kern w:val="2"/>
          <w:sz w:val="24"/>
          <w:szCs w:val="24"/>
        </w:rPr>
        <w:t>.</w:t>
      </w:r>
      <w:r>
        <w:rPr>
          <w:rFonts w:hint="default" w:ascii="Times New Roman" w:hAnsi="Times New Roman" w:eastAsia="宋体" w:cs="Times New Roman"/>
          <w:kern w:val="2"/>
          <w:sz w:val="24"/>
          <w:szCs w:val="24"/>
          <w:lang w:val="en-US" w:eastAsia="zh-CN"/>
        </w:rPr>
        <w:t>3</w:t>
      </w:r>
      <w:r>
        <w:rPr>
          <w:rFonts w:hint="default" w:ascii="Times New Roman" w:hAnsi="Times New Roman" w:eastAsia="宋体" w:cs="Times New Roman"/>
          <w:kern w:val="2"/>
          <w:sz w:val="24"/>
          <w:szCs w:val="24"/>
        </w:rPr>
        <w:t>.3条第</w:t>
      </w:r>
      <w:r>
        <w:rPr>
          <w:rFonts w:hint="default" w:ascii="Times New Roman" w:hAnsi="Times New Roman" w:eastAsia="宋体" w:cs="Times New Roman"/>
          <w:kern w:val="2"/>
          <w:sz w:val="24"/>
          <w:szCs w:val="24"/>
          <w:lang w:val="en-US" w:eastAsia="zh-CN"/>
        </w:rPr>
        <w:t>二</w:t>
      </w:r>
      <w:r>
        <w:rPr>
          <w:rFonts w:hint="default" w:ascii="Times New Roman" w:hAnsi="Times New Roman" w:eastAsia="宋体" w:cs="Times New Roman"/>
          <w:kern w:val="2"/>
          <w:sz w:val="24"/>
          <w:szCs w:val="24"/>
        </w:rPr>
        <w:t>款</w:t>
      </w:r>
      <w:r>
        <w:rPr>
          <w:rFonts w:hint="default" w:ascii="Times New Roman" w:hAnsi="Times New Roman" w:eastAsia="宋体" w:cs="Times New Roman"/>
          <w:kern w:val="2"/>
          <w:sz w:val="24"/>
          <w:szCs w:val="24"/>
          <w:lang w:val="en-US" w:eastAsia="zh-CN"/>
        </w:rPr>
        <w:t>第三项</w:t>
      </w:r>
      <w:r>
        <w:rPr>
          <w:rFonts w:hint="default" w:ascii="Times New Roman" w:hAnsi="Times New Roman" w:eastAsia="宋体" w:cs="Times New Roman"/>
          <w:kern w:val="2"/>
          <w:sz w:val="24"/>
          <w:szCs w:val="24"/>
        </w:rPr>
        <w:t>规定的关联关系。</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 w:val="24"/>
          <w:szCs w:val="24"/>
        </w:rPr>
      </w:pPr>
      <w:r>
        <w:rPr>
          <w:rFonts w:hint="default" w:ascii="Times New Roman" w:hAnsi="Times New Roman" w:eastAsia="宋体" w:cs="Times New Roman"/>
          <w:kern w:val="2"/>
          <w:sz w:val="24"/>
          <w:szCs w:val="24"/>
        </w:rPr>
        <w:t>3、履约能力分析</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eastAsia="宋体" w:cs="Times New Roman"/>
          <w:kern w:val="2"/>
          <w:sz w:val="24"/>
          <w:szCs w:val="24"/>
        </w:rPr>
        <w:t>中国大连国际经济技术合作集团有限公司不是失信主体，本次主要为公司接受其提供的劳务，历年关联交易执行情况良好，履约风险</w:t>
      </w:r>
      <w:r>
        <w:rPr>
          <w:rFonts w:hint="eastAsia" w:ascii="Times New Roman" w:hAnsi="Times New Roman" w:cs="Times New Roman"/>
          <w:kern w:val="2"/>
          <w:sz w:val="24"/>
          <w:szCs w:val="24"/>
          <w:lang w:val="en-US" w:eastAsia="zh-CN"/>
        </w:rPr>
        <w:t>低</w:t>
      </w:r>
      <w:r>
        <w:rPr>
          <w:rFonts w:hint="default" w:ascii="Times New Roman" w:hAnsi="Times New Roman" w:eastAsia="宋体" w:cs="Times New Roman"/>
          <w:kern w:val="2"/>
          <w:sz w:val="24"/>
          <w:szCs w:val="24"/>
        </w:rPr>
        <w:t>。</w:t>
      </w:r>
    </w:p>
    <w:p>
      <w:pPr>
        <w:pStyle w:val="21"/>
        <w:adjustRightInd w:val="0"/>
        <w:snapToGrid w:val="0"/>
        <w:spacing w:line="360" w:lineRule="auto"/>
        <w:ind w:firstLine="482"/>
        <w:outlineLvl w:val="0"/>
        <w:rPr>
          <w:rFonts w:hint="default" w:ascii="Times New Roman" w:hAnsi="Times New Roman" w:eastAsia="宋体" w:cs="Times New Roman"/>
          <w:b/>
          <w:sz w:val="24"/>
          <w:lang w:val="en-US" w:eastAsia="zh-CN"/>
        </w:rPr>
      </w:pPr>
      <w:r>
        <w:rPr>
          <w:rFonts w:hint="default" w:ascii="Times New Roman" w:hAnsi="Times New Roman" w:cs="Times New Roman"/>
          <w:b/>
          <w:sz w:val="24"/>
        </w:rPr>
        <w:t>三、关联交易定价原则和定价依据</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 xml:space="preserve">公司与以上关联人之间发生的日常关联交易，均遵循公平、公开、公正的市场原则进行，定价遵循公平合理的原则。 </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公司同关联方之间的关联交易价格，有国家定价的，参照国家定价；无国家定价的，参照市场价格；既无国家定价又无市场价格的，参照不高于向任何第三方提供购销相同产品和服务的价格；执行市场价格时，双方随时根据市场价格变化情况对关联交易价格进行相应调整。</w:t>
      </w:r>
    </w:p>
    <w:p>
      <w:pPr>
        <w:pStyle w:val="21"/>
        <w:adjustRightInd w:val="0"/>
        <w:snapToGrid w:val="0"/>
        <w:spacing w:line="360" w:lineRule="auto"/>
        <w:ind w:firstLine="482"/>
        <w:outlineLvl w:val="0"/>
        <w:rPr>
          <w:rFonts w:hint="default" w:ascii="Times New Roman" w:hAnsi="Times New Roman" w:cs="Times New Roman"/>
          <w:b/>
        </w:rPr>
      </w:pPr>
      <w:r>
        <w:rPr>
          <w:rFonts w:hint="default" w:ascii="Times New Roman" w:hAnsi="Times New Roman" w:cs="Times New Roman"/>
          <w:b/>
          <w:sz w:val="24"/>
        </w:rPr>
        <w:t>四、关联交易目的和对公司的影响</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 xml:space="preserve">（一）公司与关联人之间发生的日常关联交易是为了满足本公司正常经营的实际需要而预计发生的，与上述关联方开展公平、互惠的合作，能够合理配置和利用资源，降低成本、提高效率。 </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（二）公司与关联方之间的交易遵循了市场经济规律，上述日常关联交易具有非排他性，并且交易采用的原则是平等自愿、互惠互利，维护了交易双方的利益，亦没有损害中小股东的利益，交易价格公允合理。</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（三）交易双方可随时根据自身需要及市场价格，决定是否进行交易，因此上述日常关联交易对公司独立性不构成影响，公司主要业务不因此类交易而对关联人形成依赖。</w:t>
      </w:r>
    </w:p>
    <w:p>
      <w:pPr>
        <w:pStyle w:val="21"/>
        <w:adjustRightInd w:val="0"/>
        <w:snapToGrid w:val="0"/>
        <w:spacing w:line="360" w:lineRule="auto"/>
        <w:ind w:firstLine="482"/>
        <w:outlineLvl w:val="0"/>
        <w:rPr>
          <w:rFonts w:hint="default" w:ascii="Times New Roman" w:hAnsi="Times New Roman" w:cs="Times New Roman"/>
          <w:b/>
        </w:rPr>
      </w:pPr>
      <w:r>
        <w:rPr>
          <w:rFonts w:hint="default" w:ascii="Times New Roman" w:hAnsi="Times New Roman" w:cs="Times New Roman"/>
          <w:b/>
          <w:sz w:val="24"/>
        </w:rPr>
        <w:t xml:space="preserve">五、董事会、独立董事、监事会意见 </w:t>
      </w: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rPr>
        <w:t>（一）董事会意见</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该议案经过董事会审议，认为关联交易定价合理，符合公司股东的战略利益，对非关联股东是公平合理的，不存在影响公司独立性的情形，不存在损害公司及其他股东合法权益的情形。</w:t>
      </w: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rPr>
        <w:t>（二）独立董事事前认可情况和发表的独立意见</w:t>
      </w:r>
    </w:p>
    <w:p>
      <w:pPr>
        <w:widowControl w:val="0"/>
        <w:autoSpaceDE w:val="0"/>
        <w:autoSpaceDN w:val="0"/>
        <w:adjustRightInd w:val="0"/>
        <w:snapToGrid w:val="0"/>
        <w:spacing w:line="360" w:lineRule="auto"/>
        <w:ind w:firstLine="480" w:firstLineChars="200"/>
        <w:contextualSpacing/>
        <w:rPr>
          <w:rFonts w:hint="default" w:ascii="Times New Roman" w:hAnsi="Times New Roman" w:cs="Times New Roman"/>
        </w:rPr>
      </w:pPr>
      <w:r>
        <w:rPr>
          <w:rFonts w:hint="default" w:ascii="Times New Roman" w:hAnsi="Times New Roman" w:cs="Times New Roman"/>
        </w:rPr>
        <w:t>公司独立董事已在董事会召开前发表事前认可并同意将该议案提交公司董事会审议。</w:t>
      </w:r>
    </w:p>
    <w:p>
      <w:pPr>
        <w:widowControl w:val="0"/>
        <w:autoSpaceDE w:val="0"/>
        <w:autoSpaceDN w:val="0"/>
        <w:adjustRightInd w:val="0"/>
        <w:snapToGrid w:val="0"/>
        <w:spacing w:line="360" w:lineRule="auto"/>
        <w:ind w:firstLine="480" w:firstLineChars="200"/>
        <w:contextualSpacing/>
        <w:rPr>
          <w:rFonts w:hint="default" w:ascii="Times New Roman" w:hAnsi="Times New Roman" w:cs="Times New Roman"/>
        </w:rPr>
      </w:pPr>
      <w:r>
        <w:rPr>
          <w:rFonts w:hint="default" w:ascii="Times New Roman" w:hAnsi="Times New Roman" w:cs="Times New Roman"/>
        </w:rPr>
        <w:t>公司独立董事在董事会发表的独立意见如下：</w:t>
      </w:r>
    </w:p>
    <w:p>
      <w:pPr>
        <w:widowControl w:val="0"/>
        <w:autoSpaceDE w:val="0"/>
        <w:autoSpaceDN w:val="0"/>
        <w:adjustRightInd w:val="0"/>
        <w:snapToGrid w:val="0"/>
        <w:spacing w:line="360" w:lineRule="auto"/>
        <w:ind w:firstLine="480" w:firstLineChars="200"/>
        <w:contextualSpacing/>
        <w:rPr>
          <w:rFonts w:hint="default" w:ascii="Times New Roman" w:hAnsi="Times New Roman" w:cs="Times New Roman"/>
        </w:rPr>
      </w:pPr>
      <w:r>
        <w:rPr>
          <w:rFonts w:hint="default" w:ascii="Times New Roman" w:hAnsi="Times New Roman" w:cs="Times New Roman"/>
        </w:rPr>
        <w:t>1、公司202</w:t>
      </w:r>
      <w:r>
        <w:rPr>
          <w:rFonts w:hint="default" w:ascii="Times New Roman" w:hAnsi="Times New Roman" w:cs="Times New Roman"/>
          <w:lang w:val="en-US" w:eastAsia="zh-CN"/>
        </w:rPr>
        <w:t>3</w:t>
      </w:r>
      <w:r>
        <w:rPr>
          <w:rFonts w:hint="default" w:ascii="Times New Roman" w:hAnsi="Times New Roman" w:cs="Times New Roman"/>
        </w:rPr>
        <w:t>年预计的日常经营关联交易属于公司的正常业务发展需要，以市场价格作为定价依据，定价原则公平合理，相关交易有利于公司业务的开展和持续发展，未对公司独立性构成不利影响，不存在损害公司及非关联股东利益的情形。在公司第</w:t>
      </w:r>
      <w:r>
        <w:rPr>
          <w:rFonts w:hint="default" w:ascii="Times New Roman" w:hAnsi="Times New Roman" w:cs="Times New Roman"/>
          <w:lang w:val="en-US" w:eastAsia="zh-CN"/>
        </w:rPr>
        <w:t>十</w:t>
      </w:r>
      <w:r>
        <w:rPr>
          <w:rFonts w:hint="default" w:ascii="Times New Roman" w:hAnsi="Times New Roman" w:cs="Times New Roman"/>
        </w:rPr>
        <w:t>届董事会第</w:t>
      </w:r>
      <w:r>
        <w:rPr>
          <w:rFonts w:hint="default" w:ascii="Times New Roman" w:hAnsi="Times New Roman" w:cs="Times New Roman"/>
          <w:lang w:val="en-US" w:eastAsia="zh-CN"/>
        </w:rPr>
        <w:t>四</w:t>
      </w:r>
      <w:r>
        <w:rPr>
          <w:rFonts w:hint="default" w:ascii="Times New Roman" w:hAnsi="Times New Roman" w:cs="Times New Roman"/>
        </w:rPr>
        <w:t>次会议上审议该议案时，关联董事进行了回避，审议和表决程序符合有关法律法规的规定。基于上述，我们同意《关于确认2022年度日常关联交易金额和预计2023年度日常关联交易额度的议案》。</w:t>
      </w:r>
    </w:p>
    <w:p>
      <w:pPr>
        <w:widowControl w:val="0"/>
        <w:autoSpaceDE w:val="0"/>
        <w:autoSpaceDN w:val="0"/>
        <w:adjustRightInd w:val="0"/>
        <w:snapToGrid w:val="0"/>
        <w:spacing w:line="360" w:lineRule="auto"/>
        <w:ind w:firstLine="480" w:firstLineChars="200"/>
        <w:contextualSpacing/>
        <w:rPr>
          <w:rFonts w:hint="default" w:ascii="Times New Roman" w:hAnsi="Times New Roman" w:cs="Times New Roman"/>
        </w:rPr>
      </w:pPr>
      <w:r>
        <w:rPr>
          <w:rFonts w:hint="default" w:ascii="Times New Roman" w:hAnsi="Times New Roman" w:cs="Times New Roman"/>
        </w:rPr>
        <w:t>2、公司董事会对公司202</w:t>
      </w:r>
      <w:r>
        <w:rPr>
          <w:rFonts w:hint="default" w:ascii="Times New Roman" w:hAnsi="Times New Roman" w:cs="Times New Roman"/>
          <w:lang w:val="en-US" w:eastAsia="zh-CN"/>
        </w:rPr>
        <w:t>2</w:t>
      </w:r>
      <w:r>
        <w:rPr>
          <w:rFonts w:hint="default" w:ascii="Times New Roman" w:hAnsi="Times New Roman" w:cs="Times New Roman"/>
        </w:rPr>
        <w:t>年度关联交易实际发生情况的审核确认程序合法合规，对日常关联交易实际发生情况与预计存在较大差异的说明符合市场和公司的实际情况；已发生日常关联交易均为公司正常经营业务所需的交易，关联交易事项公平、公正，交易价格公允，不影响公司独立性，不存在损害公司及其股东、特别是中小股东的利益的行为。</w:t>
      </w:r>
    </w:p>
    <w:p>
      <w:pPr>
        <w:pStyle w:val="21"/>
        <w:adjustRightInd w:val="0"/>
        <w:snapToGrid w:val="0"/>
        <w:spacing w:line="360" w:lineRule="auto"/>
        <w:ind w:firstLine="482"/>
        <w:outlineLvl w:val="1"/>
        <w:rPr>
          <w:rFonts w:hint="default" w:ascii="Times New Roman" w:hAnsi="Times New Roman" w:cs="Times New Roman"/>
          <w:b/>
          <w:sz w:val="24"/>
        </w:rPr>
      </w:pPr>
      <w:r>
        <w:rPr>
          <w:rFonts w:hint="default" w:ascii="Times New Roman" w:hAnsi="Times New Roman" w:cs="Times New Roman"/>
          <w:b/>
          <w:sz w:val="24"/>
        </w:rPr>
        <w:t>（三）监事会意见</w:t>
      </w:r>
    </w:p>
    <w:p>
      <w:pPr>
        <w:widowControl w:val="0"/>
        <w:autoSpaceDE w:val="0"/>
        <w:autoSpaceDN w:val="0"/>
        <w:adjustRightInd w:val="0"/>
        <w:snapToGrid w:val="0"/>
        <w:spacing w:line="360" w:lineRule="auto"/>
        <w:ind w:firstLine="480" w:firstLineChars="200"/>
        <w:contextualSpacing/>
        <w:rPr>
          <w:rFonts w:hint="default" w:ascii="Times New Roman" w:hAnsi="Times New Roman" w:cs="Times New Roman"/>
          <w:kern w:val="2"/>
          <w:szCs w:val="20"/>
        </w:rPr>
      </w:pPr>
      <w:r>
        <w:rPr>
          <w:rFonts w:hint="default" w:ascii="Times New Roman" w:hAnsi="Times New Roman" w:cs="Times New Roman"/>
          <w:kern w:val="2"/>
          <w:szCs w:val="20"/>
        </w:rPr>
        <w:t>监事会审议后认为：公司与关联方的交易定价以市场为依据，按照等价有偿、公允市价的原则，未违反公开、公平、公正的原则，符合相关交易规则。</w:t>
      </w:r>
    </w:p>
    <w:p>
      <w:pPr>
        <w:pStyle w:val="21"/>
        <w:adjustRightInd w:val="0"/>
        <w:snapToGrid w:val="0"/>
        <w:spacing w:line="360" w:lineRule="auto"/>
        <w:ind w:firstLine="482"/>
        <w:outlineLvl w:val="0"/>
        <w:rPr>
          <w:rFonts w:hint="default" w:ascii="Times New Roman" w:hAnsi="Times New Roman" w:cs="Times New Roman"/>
          <w:b/>
          <w:sz w:val="24"/>
        </w:rPr>
      </w:pPr>
      <w:r>
        <w:rPr>
          <w:rFonts w:hint="default" w:ascii="Times New Roman" w:hAnsi="Times New Roman" w:cs="Times New Roman"/>
          <w:b/>
          <w:sz w:val="24"/>
        </w:rPr>
        <w:t>六、备查文件</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1、第</w:t>
      </w:r>
      <w:r>
        <w:rPr>
          <w:rFonts w:hint="default" w:ascii="Times New Roman" w:hAnsi="Times New Roman" w:cs="Times New Roman"/>
          <w:kern w:val="2"/>
          <w:szCs w:val="20"/>
          <w:lang w:val="en-US" w:eastAsia="zh-CN"/>
        </w:rPr>
        <w:t>十</w:t>
      </w:r>
      <w:r>
        <w:rPr>
          <w:rFonts w:hint="default" w:ascii="Times New Roman" w:hAnsi="Times New Roman" w:cs="Times New Roman"/>
          <w:kern w:val="2"/>
          <w:szCs w:val="20"/>
        </w:rPr>
        <w:t>届董事会第</w:t>
      </w:r>
      <w:r>
        <w:rPr>
          <w:rFonts w:hint="default" w:ascii="Times New Roman" w:hAnsi="Times New Roman" w:cs="Times New Roman"/>
          <w:kern w:val="2"/>
          <w:szCs w:val="20"/>
          <w:lang w:val="en-US" w:eastAsia="zh-CN"/>
        </w:rPr>
        <w:t>四</w:t>
      </w:r>
      <w:r>
        <w:rPr>
          <w:rFonts w:hint="default" w:ascii="Times New Roman" w:hAnsi="Times New Roman" w:cs="Times New Roman"/>
          <w:kern w:val="2"/>
          <w:szCs w:val="20"/>
        </w:rPr>
        <w:t>次会议决议；</w:t>
      </w:r>
    </w:p>
    <w:p>
      <w:pPr>
        <w:widowControl w:val="0"/>
        <w:adjustRightInd w:val="0"/>
        <w:snapToGrid w:val="0"/>
        <w:spacing w:line="360" w:lineRule="auto"/>
        <w:ind w:firstLine="480" w:firstLineChars="200"/>
        <w:jc w:val="both"/>
        <w:rPr>
          <w:rFonts w:hint="default" w:ascii="Times New Roman" w:hAnsi="Times New Roman" w:eastAsia="宋体" w:cs="Times New Roman"/>
          <w:kern w:val="2"/>
          <w:szCs w:val="20"/>
          <w:lang w:val="en-US" w:eastAsia="zh-CN"/>
        </w:rPr>
      </w:pPr>
      <w:r>
        <w:rPr>
          <w:rFonts w:hint="default" w:ascii="Times New Roman" w:hAnsi="Times New Roman" w:cs="Times New Roman"/>
          <w:kern w:val="2"/>
          <w:szCs w:val="20"/>
          <w:lang w:val="en-US" w:eastAsia="zh-CN"/>
        </w:rPr>
        <w:t>2、第十届监事会第二次会议决议；</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lang w:val="en-US" w:eastAsia="zh-CN"/>
        </w:rPr>
        <w:t>3</w:t>
      </w:r>
      <w:r>
        <w:rPr>
          <w:rFonts w:hint="default" w:ascii="Times New Roman" w:hAnsi="Times New Roman" w:cs="Times New Roman"/>
          <w:kern w:val="2"/>
          <w:szCs w:val="20"/>
        </w:rPr>
        <w:t>、独立董事关于第</w:t>
      </w:r>
      <w:r>
        <w:rPr>
          <w:rFonts w:hint="default" w:ascii="Times New Roman" w:hAnsi="Times New Roman" w:cs="Times New Roman"/>
          <w:kern w:val="2"/>
          <w:szCs w:val="20"/>
          <w:lang w:val="en-US" w:eastAsia="zh-CN"/>
        </w:rPr>
        <w:t>十</w:t>
      </w:r>
      <w:r>
        <w:rPr>
          <w:rFonts w:hint="default" w:ascii="Times New Roman" w:hAnsi="Times New Roman" w:cs="Times New Roman"/>
          <w:kern w:val="2"/>
          <w:szCs w:val="20"/>
        </w:rPr>
        <w:t>届董事会第</w:t>
      </w:r>
      <w:r>
        <w:rPr>
          <w:rFonts w:hint="default" w:ascii="Times New Roman" w:hAnsi="Times New Roman" w:cs="Times New Roman"/>
          <w:kern w:val="2"/>
          <w:szCs w:val="20"/>
          <w:lang w:val="en-US" w:eastAsia="zh-CN"/>
        </w:rPr>
        <w:t>四</w:t>
      </w:r>
      <w:r>
        <w:rPr>
          <w:rFonts w:hint="default" w:ascii="Times New Roman" w:hAnsi="Times New Roman" w:cs="Times New Roman"/>
          <w:kern w:val="2"/>
          <w:szCs w:val="20"/>
        </w:rPr>
        <w:t>次会议相关事项的事前认可函；</w:t>
      </w:r>
    </w:p>
    <w:p>
      <w:pPr>
        <w:widowControl w:val="0"/>
        <w:adjustRightInd w:val="0"/>
        <w:snapToGrid w:val="0"/>
        <w:spacing w:line="360" w:lineRule="auto"/>
        <w:ind w:firstLine="480" w:firstLineChars="200"/>
        <w:jc w:val="both"/>
        <w:rPr>
          <w:rFonts w:hint="default" w:ascii="Times New Roman" w:hAnsi="Times New Roman" w:cs="Times New Roman"/>
          <w:kern w:val="2"/>
          <w:szCs w:val="20"/>
        </w:rPr>
      </w:pPr>
      <w:r>
        <w:rPr>
          <w:rFonts w:hint="default" w:ascii="Times New Roman" w:hAnsi="Times New Roman" w:cs="Times New Roman"/>
          <w:kern w:val="2"/>
          <w:szCs w:val="20"/>
        </w:rPr>
        <w:t>4、独立董事关于第</w:t>
      </w:r>
      <w:r>
        <w:rPr>
          <w:rFonts w:hint="default" w:ascii="Times New Roman" w:hAnsi="Times New Roman" w:cs="Times New Roman"/>
          <w:kern w:val="2"/>
          <w:szCs w:val="20"/>
          <w:lang w:val="en-US" w:eastAsia="zh-CN"/>
        </w:rPr>
        <w:t>十</w:t>
      </w:r>
      <w:r>
        <w:rPr>
          <w:rFonts w:hint="default" w:ascii="Times New Roman" w:hAnsi="Times New Roman" w:cs="Times New Roman"/>
          <w:kern w:val="2"/>
          <w:szCs w:val="20"/>
        </w:rPr>
        <w:t>届董事会第</w:t>
      </w:r>
      <w:r>
        <w:rPr>
          <w:rFonts w:hint="default" w:ascii="Times New Roman" w:hAnsi="Times New Roman" w:cs="Times New Roman"/>
          <w:kern w:val="2"/>
          <w:szCs w:val="20"/>
          <w:lang w:val="en-US" w:eastAsia="zh-CN"/>
        </w:rPr>
        <w:t>四</w:t>
      </w:r>
      <w:r>
        <w:rPr>
          <w:rFonts w:hint="default" w:ascii="Times New Roman" w:hAnsi="Times New Roman" w:cs="Times New Roman"/>
          <w:kern w:val="2"/>
          <w:szCs w:val="20"/>
        </w:rPr>
        <w:t>次会议相关事项的独立意见。</w:t>
      </w:r>
    </w:p>
    <w:p>
      <w:pPr>
        <w:widowControl w:val="0"/>
        <w:adjustRightInd w:val="0"/>
        <w:snapToGrid w:val="0"/>
        <w:spacing w:line="360" w:lineRule="auto"/>
        <w:ind w:firstLine="480" w:firstLineChars="200"/>
        <w:jc w:val="both"/>
        <w:rPr>
          <w:rFonts w:hint="default" w:ascii="Times New Roman" w:hAnsi="Times New Roman" w:cs="Times New Roman"/>
          <w:szCs w:val="20"/>
        </w:rPr>
      </w:pPr>
      <w:r>
        <w:rPr>
          <w:rFonts w:hint="default" w:ascii="Times New Roman" w:hAnsi="Times New Roman" w:cs="Times New Roman"/>
          <w:szCs w:val="20"/>
        </w:rPr>
        <w:t>特此公告。</w:t>
      </w:r>
    </w:p>
    <w:p>
      <w:pPr>
        <w:widowControl w:val="0"/>
        <w:adjustRightInd w:val="0"/>
        <w:snapToGrid w:val="0"/>
        <w:spacing w:line="360" w:lineRule="auto"/>
        <w:ind w:left="480"/>
        <w:jc w:val="right"/>
        <w:rPr>
          <w:rFonts w:hint="default" w:ascii="Times New Roman" w:hAnsi="Times New Roman" w:cs="Times New Roman"/>
          <w:b/>
          <w:kern w:val="2"/>
          <w:szCs w:val="20"/>
        </w:rPr>
      </w:pPr>
    </w:p>
    <w:p>
      <w:pPr>
        <w:widowControl w:val="0"/>
        <w:adjustRightInd w:val="0"/>
        <w:snapToGrid w:val="0"/>
        <w:spacing w:line="360" w:lineRule="auto"/>
        <w:ind w:left="480"/>
        <w:jc w:val="right"/>
        <w:rPr>
          <w:rFonts w:hint="default" w:ascii="Times New Roman" w:hAnsi="Times New Roman" w:cs="Times New Roman"/>
          <w:b/>
          <w:kern w:val="2"/>
          <w:szCs w:val="20"/>
        </w:rPr>
      </w:pPr>
    </w:p>
    <w:p>
      <w:pPr>
        <w:widowControl w:val="0"/>
        <w:adjustRightInd w:val="0"/>
        <w:snapToGrid w:val="0"/>
        <w:spacing w:line="360" w:lineRule="auto"/>
        <w:ind w:left="480"/>
        <w:jc w:val="right"/>
        <w:rPr>
          <w:rFonts w:hint="default" w:ascii="Times New Roman" w:hAnsi="Times New Roman" w:cs="Times New Roman"/>
          <w:b/>
          <w:kern w:val="2"/>
          <w:szCs w:val="20"/>
        </w:rPr>
      </w:pPr>
    </w:p>
    <w:p>
      <w:pPr>
        <w:widowControl w:val="0"/>
        <w:adjustRightInd w:val="0"/>
        <w:snapToGrid w:val="0"/>
        <w:spacing w:line="360" w:lineRule="auto"/>
        <w:ind w:left="480"/>
        <w:jc w:val="right"/>
        <w:rPr>
          <w:rFonts w:hint="default" w:ascii="Times New Roman" w:hAnsi="Times New Roman" w:cs="Times New Roman"/>
          <w:b/>
          <w:kern w:val="2"/>
          <w:szCs w:val="20"/>
        </w:rPr>
      </w:pPr>
      <w:r>
        <w:rPr>
          <w:rFonts w:hint="default" w:ascii="Times New Roman" w:hAnsi="Times New Roman" w:cs="Times New Roman"/>
          <w:b/>
          <w:kern w:val="2"/>
          <w:szCs w:val="20"/>
        </w:rPr>
        <w:t>中广核核技术发展股份有限公司</w:t>
      </w:r>
    </w:p>
    <w:p>
      <w:pPr>
        <w:widowControl w:val="0"/>
        <w:adjustRightInd w:val="0"/>
        <w:snapToGrid w:val="0"/>
        <w:spacing w:line="360" w:lineRule="auto"/>
        <w:ind w:left="480"/>
        <w:jc w:val="right"/>
        <w:rPr>
          <w:rFonts w:hint="default" w:ascii="Times New Roman" w:hAnsi="Times New Roman" w:cs="Times New Roman"/>
          <w:b/>
          <w:kern w:val="2"/>
          <w:szCs w:val="20"/>
        </w:rPr>
      </w:pPr>
      <w:r>
        <w:rPr>
          <w:rFonts w:hint="default" w:ascii="Times New Roman" w:hAnsi="Times New Roman" w:cs="Times New Roman"/>
          <w:b/>
          <w:kern w:val="2"/>
          <w:szCs w:val="20"/>
        </w:rPr>
        <w:t>董事会</w:t>
      </w:r>
    </w:p>
    <w:p>
      <w:pPr>
        <w:widowControl w:val="0"/>
        <w:adjustRightInd w:val="0"/>
        <w:snapToGrid w:val="0"/>
        <w:spacing w:line="360" w:lineRule="auto"/>
        <w:ind w:left="480" w:firstLine="482"/>
        <w:jc w:val="right"/>
        <w:rPr>
          <w:rFonts w:hint="default" w:ascii="Times New Roman" w:hAnsi="Times New Roman" w:cs="Times New Roman"/>
          <w:kern w:val="2"/>
          <w:szCs w:val="20"/>
        </w:rPr>
      </w:pPr>
      <w:r>
        <w:rPr>
          <w:rFonts w:hint="default" w:ascii="Times New Roman" w:hAnsi="Times New Roman" w:cs="Times New Roman"/>
          <w:b/>
          <w:kern w:val="2"/>
          <w:szCs w:val="20"/>
        </w:rPr>
        <w:t>202</w:t>
      </w:r>
      <w:r>
        <w:rPr>
          <w:rFonts w:hint="default" w:ascii="Times New Roman" w:hAnsi="Times New Roman" w:cs="Times New Roman"/>
          <w:b/>
          <w:kern w:val="2"/>
          <w:szCs w:val="20"/>
          <w:lang w:val="en-US" w:eastAsia="zh-CN"/>
        </w:rPr>
        <w:t>3</w:t>
      </w:r>
      <w:r>
        <w:rPr>
          <w:rFonts w:hint="default" w:ascii="Times New Roman" w:hAnsi="Times New Roman" w:cs="Times New Roman"/>
          <w:b/>
          <w:kern w:val="2"/>
          <w:szCs w:val="20"/>
        </w:rPr>
        <w:t>年4月</w:t>
      </w:r>
      <w:r>
        <w:rPr>
          <w:rFonts w:hint="default" w:ascii="Times New Roman" w:hAnsi="Times New Roman" w:cs="Times New Roman"/>
          <w:b/>
          <w:kern w:val="2"/>
          <w:szCs w:val="20"/>
          <w:lang w:val="en-US" w:eastAsia="zh-CN"/>
        </w:rPr>
        <w:t>27</w:t>
      </w:r>
      <w:r>
        <w:rPr>
          <w:rFonts w:hint="default" w:ascii="Times New Roman" w:hAnsi="Times New Roman" w:cs="Times New Roman"/>
          <w:b/>
          <w:kern w:val="2"/>
          <w:szCs w:val="20"/>
        </w:rPr>
        <w:t>日</w:t>
      </w:r>
    </w:p>
    <w:p>
      <w:pPr>
        <w:autoSpaceDE w:val="0"/>
        <w:autoSpaceDN w:val="0"/>
        <w:adjustRightInd w:val="0"/>
        <w:spacing w:line="440" w:lineRule="exact"/>
        <w:ind w:right="480" w:firstLine="480" w:firstLineChars="200"/>
        <w:jc w:val="center"/>
        <w:rPr>
          <w:rFonts w:hint="default" w:ascii="Times New Roman" w:hAnsi="Times New Roman" w:cs="Times New Roman"/>
        </w:rPr>
      </w:pPr>
    </w:p>
    <w:sectPr>
      <w:pgSz w:w="11906" w:h="16838"/>
      <w:pgMar w:top="1588" w:right="1588" w:bottom="1588" w:left="1588" w:header="709" w:footer="709"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72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52F"/>
    <w:rsid w:val="00001C54"/>
    <w:rsid w:val="00014662"/>
    <w:rsid w:val="000308B3"/>
    <w:rsid w:val="00046C5F"/>
    <w:rsid w:val="000549A3"/>
    <w:rsid w:val="000550A0"/>
    <w:rsid w:val="00062B5B"/>
    <w:rsid w:val="00065A9F"/>
    <w:rsid w:val="00067F26"/>
    <w:rsid w:val="000701FD"/>
    <w:rsid w:val="00070261"/>
    <w:rsid w:val="00070D12"/>
    <w:rsid w:val="0007700B"/>
    <w:rsid w:val="0007703F"/>
    <w:rsid w:val="000770C9"/>
    <w:rsid w:val="00081E24"/>
    <w:rsid w:val="00082519"/>
    <w:rsid w:val="000846A5"/>
    <w:rsid w:val="00085A62"/>
    <w:rsid w:val="000867FD"/>
    <w:rsid w:val="00087AE1"/>
    <w:rsid w:val="00092654"/>
    <w:rsid w:val="0009419A"/>
    <w:rsid w:val="00096C23"/>
    <w:rsid w:val="000A1ABC"/>
    <w:rsid w:val="000A200B"/>
    <w:rsid w:val="000A67F3"/>
    <w:rsid w:val="000A7D4F"/>
    <w:rsid w:val="000B00E5"/>
    <w:rsid w:val="000B0B6A"/>
    <w:rsid w:val="000B0FDB"/>
    <w:rsid w:val="000B1043"/>
    <w:rsid w:val="000B3FF9"/>
    <w:rsid w:val="000B425B"/>
    <w:rsid w:val="000B6483"/>
    <w:rsid w:val="000C00F9"/>
    <w:rsid w:val="000C1187"/>
    <w:rsid w:val="000C13F6"/>
    <w:rsid w:val="000C17F0"/>
    <w:rsid w:val="000C3232"/>
    <w:rsid w:val="000C614A"/>
    <w:rsid w:val="000C6C5E"/>
    <w:rsid w:val="000C7CE1"/>
    <w:rsid w:val="000D405F"/>
    <w:rsid w:val="000D58FC"/>
    <w:rsid w:val="000D67C6"/>
    <w:rsid w:val="000E590A"/>
    <w:rsid w:val="000E5BE1"/>
    <w:rsid w:val="000F0E23"/>
    <w:rsid w:val="000F2C8E"/>
    <w:rsid w:val="000F7462"/>
    <w:rsid w:val="000F7907"/>
    <w:rsid w:val="001009C6"/>
    <w:rsid w:val="00101E29"/>
    <w:rsid w:val="00105056"/>
    <w:rsid w:val="00105570"/>
    <w:rsid w:val="001149DE"/>
    <w:rsid w:val="001231A0"/>
    <w:rsid w:val="001244B2"/>
    <w:rsid w:val="00127BBB"/>
    <w:rsid w:val="00132F78"/>
    <w:rsid w:val="001341AA"/>
    <w:rsid w:val="001347F8"/>
    <w:rsid w:val="001349AD"/>
    <w:rsid w:val="001376E3"/>
    <w:rsid w:val="00137F5D"/>
    <w:rsid w:val="0014294F"/>
    <w:rsid w:val="00143252"/>
    <w:rsid w:val="0014489B"/>
    <w:rsid w:val="00146DCC"/>
    <w:rsid w:val="00152232"/>
    <w:rsid w:val="001620AD"/>
    <w:rsid w:val="001670B0"/>
    <w:rsid w:val="00172487"/>
    <w:rsid w:val="0017306E"/>
    <w:rsid w:val="00174615"/>
    <w:rsid w:val="00177F17"/>
    <w:rsid w:val="00180320"/>
    <w:rsid w:val="00183FA8"/>
    <w:rsid w:val="00184DBA"/>
    <w:rsid w:val="00192FC5"/>
    <w:rsid w:val="00195EB2"/>
    <w:rsid w:val="00197DB8"/>
    <w:rsid w:val="001A0D3A"/>
    <w:rsid w:val="001A26AE"/>
    <w:rsid w:val="001A5237"/>
    <w:rsid w:val="001A7978"/>
    <w:rsid w:val="001B3D41"/>
    <w:rsid w:val="001B66A1"/>
    <w:rsid w:val="001C6DB2"/>
    <w:rsid w:val="001C7E13"/>
    <w:rsid w:val="001C7E37"/>
    <w:rsid w:val="001D4160"/>
    <w:rsid w:val="001D74A1"/>
    <w:rsid w:val="001E64D7"/>
    <w:rsid w:val="001F16AB"/>
    <w:rsid w:val="001F5965"/>
    <w:rsid w:val="001F68F0"/>
    <w:rsid w:val="0020495D"/>
    <w:rsid w:val="00210BFE"/>
    <w:rsid w:val="002137ED"/>
    <w:rsid w:val="00215333"/>
    <w:rsid w:val="002161C4"/>
    <w:rsid w:val="0022340B"/>
    <w:rsid w:val="0022449F"/>
    <w:rsid w:val="00227DDD"/>
    <w:rsid w:val="0023383B"/>
    <w:rsid w:val="00244DBD"/>
    <w:rsid w:val="00244EA8"/>
    <w:rsid w:val="00256AE7"/>
    <w:rsid w:val="00257A8D"/>
    <w:rsid w:val="00263A0F"/>
    <w:rsid w:val="00265107"/>
    <w:rsid w:val="00275BD0"/>
    <w:rsid w:val="00277805"/>
    <w:rsid w:val="00280984"/>
    <w:rsid w:val="00281791"/>
    <w:rsid w:val="00282831"/>
    <w:rsid w:val="00292DC8"/>
    <w:rsid w:val="00296220"/>
    <w:rsid w:val="002A0F12"/>
    <w:rsid w:val="002A633A"/>
    <w:rsid w:val="002B060F"/>
    <w:rsid w:val="002B1407"/>
    <w:rsid w:val="002B2D28"/>
    <w:rsid w:val="002B5F86"/>
    <w:rsid w:val="002C0CB4"/>
    <w:rsid w:val="002D110C"/>
    <w:rsid w:val="002D51C4"/>
    <w:rsid w:val="002D6832"/>
    <w:rsid w:val="002E3406"/>
    <w:rsid w:val="002E343D"/>
    <w:rsid w:val="002E5D2E"/>
    <w:rsid w:val="002E77AB"/>
    <w:rsid w:val="002F1B36"/>
    <w:rsid w:val="002F7CF4"/>
    <w:rsid w:val="00300240"/>
    <w:rsid w:val="00310733"/>
    <w:rsid w:val="00315D0D"/>
    <w:rsid w:val="0032112A"/>
    <w:rsid w:val="00323B43"/>
    <w:rsid w:val="00325820"/>
    <w:rsid w:val="00326A8D"/>
    <w:rsid w:val="00327CD3"/>
    <w:rsid w:val="00331E9D"/>
    <w:rsid w:val="0033374F"/>
    <w:rsid w:val="0033543E"/>
    <w:rsid w:val="00335955"/>
    <w:rsid w:val="00337D1B"/>
    <w:rsid w:val="00340A32"/>
    <w:rsid w:val="00351BB1"/>
    <w:rsid w:val="00355182"/>
    <w:rsid w:val="003607D8"/>
    <w:rsid w:val="0036086C"/>
    <w:rsid w:val="00360FE5"/>
    <w:rsid w:val="00361B67"/>
    <w:rsid w:val="0036496D"/>
    <w:rsid w:val="00373F92"/>
    <w:rsid w:val="003800BD"/>
    <w:rsid w:val="00383DEC"/>
    <w:rsid w:val="003928AD"/>
    <w:rsid w:val="003932C4"/>
    <w:rsid w:val="0039372B"/>
    <w:rsid w:val="0039413E"/>
    <w:rsid w:val="00397255"/>
    <w:rsid w:val="003A0E56"/>
    <w:rsid w:val="003A2435"/>
    <w:rsid w:val="003A24FC"/>
    <w:rsid w:val="003A46B7"/>
    <w:rsid w:val="003A5783"/>
    <w:rsid w:val="003B69F2"/>
    <w:rsid w:val="003B746D"/>
    <w:rsid w:val="003C160E"/>
    <w:rsid w:val="003C2B1E"/>
    <w:rsid w:val="003C5545"/>
    <w:rsid w:val="003D0AD5"/>
    <w:rsid w:val="003D37D8"/>
    <w:rsid w:val="003D7EA6"/>
    <w:rsid w:val="003E637E"/>
    <w:rsid w:val="003E7BF3"/>
    <w:rsid w:val="003F4A58"/>
    <w:rsid w:val="003F6101"/>
    <w:rsid w:val="003F66D9"/>
    <w:rsid w:val="004108EB"/>
    <w:rsid w:val="004133C9"/>
    <w:rsid w:val="004137F2"/>
    <w:rsid w:val="004156EC"/>
    <w:rsid w:val="004176E5"/>
    <w:rsid w:val="00417732"/>
    <w:rsid w:val="00424709"/>
    <w:rsid w:val="00431224"/>
    <w:rsid w:val="00433DA7"/>
    <w:rsid w:val="004351DA"/>
    <w:rsid w:val="004358AB"/>
    <w:rsid w:val="00436010"/>
    <w:rsid w:val="00440ECF"/>
    <w:rsid w:val="00443706"/>
    <w:rsid w:val="0044550B"/>
    <w:rsid w:val="00453AE3"/>
    <w:rsid w:val="004543B0"/>
    <w:rsid w:val="004656F1"/>
    <w:rsid w:val="00466C5D"/>
    <w:rsid w:val="00467F57"/>
    <w:rsid w:val="0047366E"/>
    <w:rsid w:val="00474245"/>
    <w:rsid w:val="004743CB"/>
    <w:rsid w:val="00475534"/>
    <w:rsid w:val="004777EC"/>
    <w:rsid w:val="00477C8D"/>
    <w:rsid w:val="00481E79"/>
    <w:rsid w:val="00485E0D"/>
    <w:rsid w:val="0048713F"/>
    <w:rsid w:val="004872E4"/>
    <w:rsid w:val="00487C53"/>
    <w:rsid w:val="004903F6"/>
    <w:rsid w:val="00491C78"/>
    <w:rsid w:val="004946B9"/>
    <w:rsid w:val="004A02CE"/>
    <w:rsid w:val="004A0329"/>
    <w:rsid w:val="004A6E17"/>
    <w:rsid w:val="004A78A6"/>
    <w:rsid w:val="004B3CB3"/>
    <w:rsid w:val="004C1B7E"/>
    <w:rsid w:val="004C30F3"/>
    <w:rsid w:val="004D2057"/>
    <w:rsid w:val="004D251B"/>
    <w:rsid w:val="004D384C"/>
    <w:rsid w:val="004D4BEC"/>
    <w:rsid w:val="004D5D2F"/>
    <w:rsid w:val="004E4BA6"/>
    <w:rsid w:val="004F10F4"/>
    <w:rsid w:val="00502B83"/>
    <w:rsid w:val="00507794"/>
    <w:rsid w:val="00510D12"/>
    <w:rsid w:val="00517347"/>
    <w:rsid w:val="00524254"/>
    <w:rsid w:val="00524E1F"/>
    <w:rsid w:val="005251E0"/>
    <w:rsid w:val="00534EAA"/>
    <w:rsid w:val="00534F5E"/>
    <w:rsid w:val="0053668B"/>
    <w:rsid w:val="00536A13"/>
    <w:rsid w:val="0054325A"/>
    <w:rsid w:val="00543D4A"/>
    <w:rsid w:val="00553CEC"/>
    <w:rsid w:val="00554C28"/>
    <w:rsid w:val="00557C05"/>
    <w:rsid w:val="00557C7E"/>
    <w:rsid w:val="005619E6"/>
    <w:rsid w:val="00561D35"/>
    <w:rsid w:val="00562E2C"/>
    <w:rsid w:val="005638E7"/>
    <w:rsid w:val="00563C07"/>
    <w:rsid w:val="00564ECA"/>
    <w:rsid w:val="00566C53"/>
    <w:rsid w:val="0057734D"/>
    <w:rsid w:val="00577CCA"/>
    <w:rsid w:val="00581E04"/>
    <w:rsid w:val="0059352F"/>
    <w:rsid w:val="00593BCC"/>
    <w:rsid w:val="005A0298"/>
    <w:rsid w:val="005A2F29"/>
    <w:rsid w:val="005A33E2"/>
    <w:rsid w:val="005A3D96"/>
    <w:rsid w:val="005A5CFF"/>
    <w:rsid w:val="005A6223"/>
    <w:rsid w:val="005A76E1"/>
    <w:rsid w:val="005B1753"/>
    <w:rsid w:val="005B1829"/>
    <w:rsid w:val="005B2EB4"/>
    <w:rsid w:val="005B4484"/>
    <w:rsid w:val="005C024D"/>
    <w:rsid w:val="005C098B"/>
    <w:rsid w:val="005C1049"/>
    <w:rsid w:val="005C1565"/>
    <w:rsid w:val="005C2381"/>
    <w:rsid w:val="005C24F5"/>
    <w:rsid w:val="005C2BD2"/>
    <w:rsid w:val="005C4618"/>
    <w:rsid w:val="005C5674"/>
    <w:rsid w:val="005C6BAB"/>
    <w:rsid w:val="005D0CB3"/>
    <w:rsid w:val="005D2A0E"/>
    <w:rsid w:val="005D5A86"/>
    <w:rsid w:val="005E0142"/>
    <w:rsid w:val="005E0BAB"/>
    <w:rsid w:val="005E1321"/>
    <w:rsid w:val="005E3BBB"/>
    <w:rsid w:val="005F72F3"/>
    <w:rsid w:val="00601760"/>
    <w:rsid w:val="00602B47"/>
    <w:rsid w:val="00605316"/>
    <w:rsid w:val="00607A7E"/>
    <w:rsid w:val="00612A94"/>
    <w:rsid w:val="00615E31"/>
    <w:rsid w:val="00616699"/>
    <w:rsid w:val="00617CCE"/>
    <w:rsid w:val="006217A8"/>
    <w:rsid w:val="00621851"/>
    <w:rsid w:val="0062312F"/>
    <w:rsid w:val="00624324"/>
    <w:rsid w:val="006243A2"/>
    <w:rsid w:val="00627F0D"/>
    <w:rsid w:val="0063234A"/>
    <w:rsid w:val="00635630"/>
    <w:rsid w:val="006427EC"/>
    <w:rsid w:val="00646F2D"/>
    <w:rsid w:val="00647588"/>
    <w:rsid w:val="006507B4"/>
    <w:rsid w:val="00652DF2"/>
    <w:rsid w:val="006537A1"/>
    <w:rsid w:val="006545E7"/>
    <w:rsid w:val="006623BD"/>
    <w:rsid w:val="006624EB"/>
    <w:rsid w:val="00663002"/>
    <w:rsid w:val="00664061"/>
    <w:rsid w:val="006643A1"/>
    <w:rsid w:val="006647BE"/>
    <w:rsid w:val="006652D5"/>
    <w:rsid w:val="0067086D"/>
    <w:rsid w:val="00671584"/>
    <w:rsid w:val="00680531"/>
    <w:rsid w:val="00682E5F"/>
    <w:rsid w:val="00683EA0"/>
    <w:rsid w:val="00683FE3"/>
    <w:rsid w:val="00684DBE"/>
    <w:rsid w:val="00694437"/>
    <w:rsid w:val="00694898"/>
    <w:rsid w:val="006B0113"/>
    <w:rsid w:val="006B3033"/>
    <w:rsid w:val="006B384E"/>
    <w:rsid w:val="006B4766"/>
    <w:rsid w:val="006B6BA4"/>
    <w:rsid w:val="006C5B89"/>
    <w:rsid w:val="006E1E1D"/>
    <w:rsid w:val="006E2202"/>
    <w:rsid w:val="006E2F34"/>
    <w:rsid w:val="006F13B8"/>
    <w:rsid w:val="006F2782"/>
    <w:rsid w:val="006F27C2"/>
    <w:rsid w:val="006F43CC"/>
    <w:rsid w:val="006F683C"/>
    <w:rsid w:val="00706EA3"/>
    <w:rsid w:val="00711288"/>
    <w:rsid w:val="00713048"/>
    <w:rsid w:val="007137D3"/>
    <w:rsid w:val="0071473E"/>
    <w:rsid w:val="00717289"/>
    <w:rsid w:val="0072085F"/>
    <w:rsid w:val="00722F8D"/>
    <w:rsid w:val="007303FF"/>
    <w:rsid w:val="00730F3B"/>
    <w:rsid w:val="007311D7"/>
    <w:rsid w:val="00731AB1"/>
    <w:rsid w:val="00735A5D"/>
    <w:rsid w:val="00740040"/>
    <w:rsid w:val="00740795"/>
    <w:rsid w:val="00740AD2"/>
    <w:rsid w:val="0074284F"/>
    <w:rsid w:val="00742C84"/>
    <w:rsid w:val="00745493"/>
    <w:rsid w:val="007469FA"/>
    <w:rsid w:val="0074799A"/>
    <w:rsid w:val="0075125C"/>
    <w:rsid w:val="007525E0"/>
    <w:rsid w:val="00753A3E"/>
    <w:rsid w:val="00755703"/>
    <w:rsid w:val="00766808"/>
    <w:rsid w:val="00781FB3"/>
    <w:rsid w:val="007844F2"/>
    <w:rsid w:val="00790100"/>
    <w:rsid w:val="00797EB9"/>
    <w:rsid w:val="007A11AB"/>
    <w:rsid w:val="007A236A"/>
    <w:rsid w:val="007A4F8D"/>
    <w:rsid w:val="007A72F4"/>
    <w:rsid w:val="007B145A"/>
    <w:rsid w:val="007C1BAF"/>
    <w:rsid w:val="007C7574"/>
    <w:rsid w:val="007D0FEB"/>
    <w:rsid w:val="007D7772"/>
    <w:rsid w:val="007E080B"/>
    <w:rsid w:val="007E0CE5"/>
    <w:rsid w:val="007E0D69"/>
    <w:rsid w:val="007E1C02"/>
    <w:rsid w:val="007E1F63"/>
    <w:rsid w:val="007E3E4F"/>
    <w:rsid w:val="007E465F"/>
    <w:rsid w:val="007E4DD2"/>
    <w:rsid w:val="007E5316"/>
    <w:rsid w:val="007E5FE3"/>
    <w:rsid w:val="007E7C0B"/>
    <w:rsid w:val="007F2778"/>
    <w:rsid w:val="007F5767"/>
    <w:rsid w:val="007F583E"/>
    <w:rsid w:val="007F59C4"/>
    <w:rsid w:val="0080573F"/>
    <w:rsid w:val="008129D4"/>
    <w:rsid w:val="008133B6"/>
    <w:rsid w:val="00816867"/>
    <w:rsid w:val="008240F3"/>
    <w:rsid w:val="00831F7E"/>
    <w:rsid w:val="00833FF0"/>
    <w:rsid w:val="00836182"/>
    <w:rsid w:val="0083698A"/>
    <w:rsid w:val="0084082C"/>
    <w:rsid w:val="00842202"/>
    <w:rsid w:val="00846498"/>
    <w:rsid w:val="008465F1"/>
    <w:rsid w:val="00846870"/>
    <w:rsid w:val="008511E2"/>
    <w:rsid w:val="00852E2D"/>
    <w:rsid w:val="00860919"/>
    <w:rsid w:val="008620AF"/>
    <w:rsid w:val="008624A4"/>
    <w:rsid w:val="008641D6"/>
    <w:rsid w:val="00864677"/>
    <w:rsid w:val="008652F0"/>
    <w:rsid w:val="00867490"/>
    <w:rsid w:val="00875ACE"/>
    <w:rsid w:val="00876AA3"/>
    <w:rsid w:val="00877386"/>
    <w:rsid w:val="00880740"/>
    <w:rsid w:val="008807AC"/>
    <w:rsid w:val="00884273"/>
    <w:rsid w:val="00886A44"/>
    <w:rsid w:val="00891A35"/>
    <w:rsid w:val="00895049"/>
    <w:rsid w:val="008954DA"/>
    <w:rsid w:val="00896021"/>
    <w:rsid w:val="00896082"/>
    <w:rsid w:val="008A2131"/>
    <w:rsid w:val="008A26F2"/>
    <w:rsid w:val="008A697C"/>
    <w:rsid w:val="008B2BC7"/>
    <w:rsid w:val="008B4C87"/>
    <w:rsid w:val="008B4FBA"/>
    <w:rsid w:val="008B6A68"/>
    <w:rsid w:val="008B7012"/>
    <w:rsid w:val="008B7726"/>
    <w:rsid w:val="008C72BB"/>
    <w:rsid w:val="008D0AA3"/>
    <w:rsid w:val="008D0B7A"/>
    <w:rsid w:val="008E0668"/>
    <w:rsid w:val="008E2F3C"/>
    <w:rsid w:val="008E44F1"/>
    <w:rsid w:val="008E662C"/>
    <w:rsid w:val="008E66DF"/>
    <w:rsid w:val="008E6D9E"/>
    <w:rsid w:val="0090657C"/>
    <w:rsid w:val="00912BB5"/>
    <w:rsid w:val="00913D7B"/>
    <w:rsid w:val="00921ED3"/>
    <w:rsid w:val="00933C2A"/>
    <w:rsid w:val="00937998"/>
    <w:rsid w:val="00941C15"/>
    <w:rsid w:val="009435E6"/>
    <w:rsid w:val="009440C6"/>
    <w:rsid w:val="00947B88"/>
    <w:rsid w:val="00952987"/>
    <w:rsid w:val="00953778"/>
    <w:rsid w:val="00953BAB"/>
    <w:rsid w:val="00964575"/>
    <w:rsid w:val="009651AE"/>
    <w:rsid w:val="00967C62"/>
    <w:rsid w:val="00975381"/>
    <w:rsid w:val="00980BBB"/>
    <w:rsid w:val="009842B5"/>
    <w:rsid w:val="00985C65"/>
    <w:rsid w:val="00990668"/>
    <w:rsid w:val="00990761"/>
    <w:rsid w:val="0099387D"/>
    <w:rsid w:val="00993C6B"/>
    <w:rsid w:val="009B2D38"/>
    <w:rsid w:val="009B68DA"/>
    <w:rsid w:val="009B7E1D"/>
    <w:rsid w:val="009C0879"/>
    <w:rsid w:val="009D29FC"/>
    <w:rsid w:val="009D2B6B"/>
    <w:rsid w:val="009E2000"/>
    <w:rsid w:val="009E5AF5"/>
    <w:rsid w:val="009E62A2"/>
    <w:rsid w:val="009E781A"/>
    <w:rsid w:val="009F0139"/>
    <w:rsid w:val="009F13D4"/>
    <w:rsid w:val="009F1B84"/>
    <w:rsid w:val="009F1F62"/>
    <w:rsid w:val="009F4C4B"/>
    <w:rsid w:val="009F5D72"/>
    <w:rsid w:val="00A0087D"/>
    <w:rsid w:val="00A02DFF"/>
    <w:rsid w:val="00A0496A"/>
    <w:rsid w:val="00A14EB9"/>
    <w:rsid w:val="00A223A4"/>
    <w:rsid w:val="00A2407E"/>
    <w:rsid w:val="00A2460D"/>
    <w:rsid w:val="00A24880"/>
    <w:rsid w:val="00A31959"/>
    <w:rsid w:val="00A348D2"/>
    <w:rsid w:val="00A35E71"/>
    <w:rsid w:val="00A3648D"/>
    <w:rsid w:val="00A36682"/>
    <w:rsid w:val="00A408D7"/>
    <w:rsid w:val="00A4251A"/>
    <w:rsid w:val="00A460D8"/>
    <w:rsid w:val="00A50B89"/>
    <w:rsid w:val="00A52B7A"/>
    <w:rsid w:val="00A65175"/>
    <w:rsid w:val="00A6773A"/>
    <w:rsid w:val="00A73C6A"/>
    <w:rsid w:val="00A8001B"/>
    <w:rsid w:val="00A82E00"/>
    <w:rsid w:val="00A83370"/>
    <w:rsid w:val="00A85C16"/>
    <w:rsid w:val="00AA01D2"/>
    <w:rsid w:val="00AA076B"/>
    <w:rsid w:val="00AA3306"/>
    <w:rsid w:val="00AA410A"/>
    <w:rsid w:val="00AA5DE9"/>
    <w:rsid w:val="00AA7040"/>
    <w:rsid w:val="00AA7EC7"/>
    <w:rsid w:val="00AC0402"/>
    <w:rsid w:val="00AC087B"/>
    <w:rsid w:val="00AC5484"/>
    <w:rsid w:val="00AC5CBC"/>
    <w:rsid w:val="00AD4624"/>
    <w:rsid w:val="00AD5866"/>
    <w:rsid w:val="00AE0141"/>
    <w:rsid w:val="00AE1ECD"/>
    <w:rsid w:val="00AE20EF"/>
    <w:rsid w:val="00AE449C"/>
    <w:rsid w:val="00AE4F7B"/>
    <w:rsid w:val="00AF0A59"/>
    <w:rsid w:val="00AF0F8E"/>
    <w:rsid w:val="00AF57BC"/>
    <w:rsid w:val="00AF7C34"/>
    <w:rsid w:val="00B03292"/>
    <w:rsid w:val="00B16711"/>
    <w:rsid w:val="00B27C7D"/>
    <w:rsid w:val="00B3146B"/>
    <w:rsid w:val="00B334CF"/>
    <w:rsid w:val="00B34D45"/>
    <w:rsid w:val="00B34F92"/>
    <w:rsid w:val="00B367D2"/>
    <w:rsid w:val="00B41568"/>
    <w:rsid w:val="00B41F30"/>
    <w:rsid w:val="00B42160"/>
    <w:rsid w:val="00B42413"/>
    <w:rsid w:val="00B439F1"/>
    <w:rsid w:val="00B44079"/>
    <w:rsid w:val="00B45F37"/>
    <w:rsid w:val="00B510FC"/>
    <w:rsid w:val="00B56529"/>
    <w:rsid w:val="00B56620"/>
    <w:rsid w:val="00B568E1"/>
    <w:rsid w:val="00B5761C"/>
    <w:rsid w:val="00B61F33"/>
    <w:rsid w:val="00B67B0B"/>
    <w:rsid w:val="00B70B11"/>
    <w:rsid w:val="00B70E1A"/>
    <w:rsid w:val="00B76330"/>
    <w:rsid w:val="00B768D8"/>
    <w:rsid w:val="00B7776C"/>
    <w:rsid w:val="00B82CE9"/>
    <w:rsid w:val="00B92C15"/>
    <w:rsid w:val="00B9646C"/>
    <w:rsid w:val="00B9793E"/>
    <w:rsid w:val="00BA09D3"/>
    <w:rsid w:val="00BA0A13"/>
    <w:rsid w:val="00BA1269"/>
    <w:rsid w:val="00BA1EE5"/>
    <w:rsid w:val="00BA58F3"/>
    <w:rsid w:val="00BA71EB"/>
    <w:rsid w:val="00BB3834"/>
    <w:rsid w:val="00BB3E21"/>
    <w:rsid w:val="00BB4589"/>
    <w:rsid w:val="00BB5E69"/>
    <w:rsid w:val="00BB616F"/>
    <w:rsid w:val="00BB77DB"/>
    <w:rsid w:val="00BC41CA"/>
    <w:rsid w:val="00BC51D6"/>
    <w:rsid w:val="00BC6F98"/>
    <w:rsid w:val="00BC7CC8"/>
    <w:rsid w:val="00BC7F68"/>
    <w:rsid w:val="00BD3654"/>
    <w:rsid w:val="00BE583F"/>
    <w:rsid w:val="00BE6CEB"/>
    <w:rsid w:val="00BE6F43"/>
    <w:rsid w:val="00BF2A22"/>
    <w:rsid w:val="00BF39B4"/>
    <w:rsid w:val="00C00239"/>
    <w:rsid w:val="00C05246"/>
    <w:rsid w:val="00C07391"/>
    <w:rsid w:val="00C11C07"/>
    <w:rsid w:val="00C1389A"/>
    <w:rsid w:val="00C16BC8"/>
    <w:rsid w:val="00C16FE2"/>
    <w:rsid w:val="00C23FC4"/>
    <w:rsid w:val="00C25D29"/>
    <w:rsid w:val="00C26481"/>
    <w:rsid w:val="00C30875"/>
    <w:rsid w:val="00C316E6"/>
    <w:rsid w:val="00C4369C"/>
    <w:rsid w:val="00C44A14"/>
    <w:rsid w:val="00C44AD3"/>
    <w:rsid w:val="00C5008F"/>
    <w:rsid w:val="00C53C82"/>
    <w:rsid w:val="00C57460"/>
    <w:rsid w:val="00C6542D"/>
    <w:rsid w:val="00C65642"/>
    <w:rsid w:val="00C6565E"/>
    <w:rsid w:val="00C6766E"/>
    <w:rsid w:val="00C73CB2"/>
    <w:rsid w:val="00C74826"/>
    <w:rsid w:val="00C74835"/>
    <w:rsid w:val="00C75630"/>
    <w:rsid w:val="00C777BE"/>
    <w:rsid w:val="00C90B5E"/>
    <w:rsid w:val="00C94339"/>
    <w:rsid w:val="00C946F4"/>
    <w:rsid w:val="00CB396C"/>
    <w:rsid w:val="00CB558C"/>
    <w:rsid w:val="00CB6817"/>
    <w:rsid w:val="00CB7B0A"/>
    <w:rsid w:val="00CB7B9E"/>
    <w:rsid w:val="00CC0A53"/>
    <w:rsid w:val="00CC18D5"/>
    <w:rsid w:val="00CC7458"/>
    <w:rsid w:val="00CD04F7"/>
    <w:rsid w:val="00CD1D27"/>
    <w:rsid w:val="00CD28D3"/>
    <w:rsid w:val="00CD2B7D"/>
    <w:rsid w:val="00CD4AA0"/>
    <w:rsid w:val="00CE057F"/>
    <w:rsid w:val="00CE10FC"/>
    <w:rsid w:val="00CE4148"/>
    <w:rsid w:val="00CF2929"/>
    <w:rsid w:val="00CF3BC6"/>
    <w:rsid w:val="00CF3F53"/>
    <w:rsid w:val="00CF6E3C"/>
    <w:rsid w:val="00CF7FEC"/>
    <w:rsid w:val="00D00317"/>
    <w:rsid w:val="00D05CF4"/>
    <w:rsid w:val="00D05F44"/>
    <w:rsid w:val="00D06953"/>
    <w:rsid w:val="00D15062"/>
    <w:rsid w:val="00D21EE7"/>
    <w:rsid w:val="00D23A45"/>
    <w:rsid w:val="00D25D3E"/>
    <w:rsid w:val="00D27F26"/>
    <w:rsid w:val="00D41D69"/>
    <w:rsid w:val="00D42DAA"/>
    <w:rsid w:val="00D44CF3"/>
    <w:rsid w:val="00D45B66"/>
    <w:rsid w:val="00D46174"/>
    <w:rsid w:val="00D47F6F"/>
    <w:rsid w:val="00D56E7B"/>
    <w:rsid w:val="00D664B6"/>
    <w:rsid w:val="00D66DED"/>
    <w:rsid w:val="00D67ECE"/>
    <w:rsid w:val="00D71469"/>
    <w:rsid w:val="00D72329"/>
    <w:rsid w:val="00D7623F"/>
    <w:rsid w:val="00D85B57"/>
    <w:rsid w:val="00D85F27"/>
    <w:rsid w:val="00D86DEA"/>
    <w:rsid w:val="00D9376F"/>
    <w:rsid w:val="00DA1FDD"/>
    <w:rsid w:val="00DA4492"/>
    <w:rsid w:val="00DA4623"/>
    <w:rsid w:val="00DA7DE8"/>
    <w:rsid w:val="00DB079A"/>
    <w:rsid w:val="00DB5E23"/>
    <w:rsid w:val="00DD1CA1"/>
    <w:rsid w:val="00DD4701"/>
    <w:rsid w:val="00DD5A1A"/>
    <w:rsid w:val="00DD7678"/>
    <w:rsid w:val="00DD7982"/>
    <w:rsid w:val="00DE5BC7"/>
    <w:rsid w:val="00DF05CE"/>
    <w:rsid w:val="00DF4A12"/>
    <w:rsid w:val="00DF591B"/>
    <w:rsid w:val="00DF6446"/>
    <w:rsid w:val="00E02F70"/>
    <w:rsid w:val="00E17C04"/>
    <w:rsid w:val="00E20607"/>
    <w:rsid w:val="00E20DD0"/>
    <w:rsid w:val="00E210B9"/>
    <w:rsid w:val="00E21C36"/>
    <w:rsid w:val="00E224EF"/>
    <w:rsid w:val="00E22504"/>
    <w:rsid w:val="00E233AA"/>
    <w:rsid w:val="00E247FC"/>
    <w:rsid w:val="00E24B69"/>
    <w:rsid w:val="00E30942"/>
    <w:rsid w:val="00E30A2B"/>
    <w:rsid w:val="00E31B52"/>
    <w:rsid w:val="00E327FA"/>
    <w:rsid w:val="00E35295"/>
    <w:rsid w:val="00E376D7"/>
    <w:rsid w:val="00E50BE1"/>
    <w:rsid w:val="00E53FDF"/>
    <w:rsid w:val="00E54A55"/>
    <w:rsid w:val="00E65BA6"/>
    <w:rsid w:val="00E66467"/>
    <w:rsid w:val="00E665EF"/>
    <w:rsid w:val="00E739CA"/>
    <w:rsid w:val="00E81992"/>
    <w:rsid w:val="00E84253"/>
    <w:rsid w:val="00E84273"/>
    <w:rsid w:val="00E84862"/>
    <w:rsid w:val="00E85487"/>
    <w:rsid w:val="00E916C6"/>
    <w:rsid w:val="00E91B9B"/>
    <w:rsid w:val="00E92B96"/>
    <w:rsid w:val="00E93681"/>
    <w:rsid w:val="00E94517"/>
    <w:rsid w:val="00EA0BA1"/>
    <w:rsid w:val="00EA1B14"/>
    <w:rsid w:val="00EA1DD2"/>
    <w:rsid w:val="00EA2BE0"/>
    <w:rsid w:val="00EA3F19"/>
    <w:rsid w:val="00EA68B9"/>
    <w:rsid w:val="00EA7341"/>
    <w:rsid w:val="00EB3437"/>
    <w:rsid w:val="00EC1CCF"/>
    <w:rsid w:val="00EC627A"/>
    <w:rsid w:val="00EC7439"/>
    <w:rsid w:val="00ED7019"/>
    <w:rsid w:val="00EE525A"/>
    <w:rsid w:val="00EE5AD5"/>
    <w:rsid w:val="00EE61CD"/>
    <w:rsid w:val="00EF1309"/>
    <w:rsid w:val="00EF2407"/>
    <w:rsid w:val="00EF300F"/>
    <w:rsid w:val="00F02069"/>
    <w:rsid w:val="00F050F3"/>
    <w:rsid w:val="00F148BC"/>
    <w:rsid w:val="00F15BC6"/>
    <w:rsid w:val="00F226C4"/>
    <w:rsid w:val="00F2325D"/>
    <w:rsid w:val="00F255DB"/>
    <w:rsid w:val="00F2613E"/>
    <w:rsid w:val="00F271DF"/>
    <w:rsid w:val="00F31539"/>
    <w:rsid w:val="00F34493"/>
    <w:rsid w:val="00F3635D"/>
    <w:rsid w:val="00F44605"/>
    <w:rsid w:val="00F53FAF"/>
    <w:rsid w:val="00F62D17"/>
    <w:rsid w:val="00F64B17"/>
    <w:rsid w:val="00F67C8D"/>
    <w:rsid w:val="00F75BBC"/>
    <w:rsid w:val="00F767AD"/>
    <w:rsid w:val="00F80C30"/>
    <w:rsid w:val="00F8340D"/>
    <w:rsid w:val="00F85950"/>
    <w:rsid w:val="00F908BC"/>
    <w:rsid w:val="00F94ADB"/>
    <w:rsid w:val="00F975A1"/>
    <w:rsid w:val="00F97AF2"/>
    <w:rsid w:val="00FA36DC"/>
    <w:rsid w:val="00FB0BCF"/>
    <w:rsid w:val="00FB402A"/>
    <w:rsid w:val="00FB44B4"/>
    <w:rsid w:val="00FB7771"/>
    <w:rsid w:val="00FB7922"/>
    <w:rsid w:val="00FC0607"/>
    <w:rsid w:val="00FC315A"/>
    <w:rsid w:val="00FC4D0A"/>
    <w:rsid w:val="00FC74AD"/>
    <w:rsid w:val="00FD0D0C"/>
    <w:rsid w:val="00FD1C41"/>
    <w:rsid w:val="00FD2B5B"/>
    <w:rsid w:val="00FD33EC"/>
    <w:rsid w:val="00FD6612"/>
    <w:rsid w:val="00FE1913"/>
    <w:rsid w:val="00FE460C"/>
    <w:rsid w:val="00FE4AD1"/>
    <w:rsid w:val="00FF248E"/>
    <w:rsid w:val="00FF40F4"/>
    <w:rsid w:val="00FF433C"/>
    <w:rsid w:val="00FF61C7"/>
    <w:rsid w:val="00FF653D"/>
    <w:rsid w:val="01AD16F9"/>
    <w:rsid w:val="024822BA"/>
    <w:rsid w:val="033C3023"/>
    <w:rsid w:val="05F718B0"/>
    <w:rsid w:val="06264EBB"/>
    <w:rsid w:val="0660296D"/>
    <w:rsid w:val="066C303A"/>
    <w:rsid w:val="075B4617"/>
    <w:rsid w:val="084B19E6"/>
    <w:rsid w:val="091664FD"/>
    <w:rsid w:val="096B1D41"/>
    <w:rsid w:val="099567FC"/>
    <w:rsid w:val="09D8796C"/>
    <w:rsid w:val="09E611AC"/>
    <w:rsid w:val="0AEF5816"/>
    <w:rsid w:val="0C006A4F"/>
    <w:rsid w:val="0C5E2573"/>
    <w:rsid w:val="0D164D9E"/>
    <w:rsid w:val="0DA16FCC"/>
    <w:rsid w:val="0E956346"/>
    <w:rsid w:val="0F2A036A"/>
    <w:rsid w:val="10442345"/>
    <w:rsid w:val="111939FD"/>
    <w:rsid w:val="112F7D2D"/>
    <w:rsid w:val="12966F6C"/>
    <w:rsid w:val="132F2BCE"/>
    <w:rsid w:val="137A6453"/>
    <w:rsid w:val="13DB20E1"/>
    <w:rsid w:val="16A82745"/>
    <w:rsid w:val="180B3FDB"/>
    <w:rsid w:val="19BF3005"/>
    <w:rsid w:val="1AB54D11"/>
    <w:rsid w:val="1B5F22B5"/>
    <w:rsid w:val="1B751E56"/>
    <w:rsid w:val="1D040379"/>
    <w:rsid w:val="1E643936"/>
    <w:rsid w:val="1F3E4D3F"/>
    <w:rsid w:val="1F4A15BA"/>
    <w:rsid w:val="20EE4BE8"/>
    <w:rsid w:val="216D0714"/>
    <w:rsid w:val="235F249E"/>
    <w:rsid w:val="241C6EB4"/>
    <w:rsid w:val="242E4FFD"/>
    <w:rsid w:val="24474EE9"/>
    <w:rsid w:val="24B311A3"/>
    <w:rsid w:val="25A51D5E"/>
    <w:rsid w:val="25BC4336"/>
    <w:rsid w:val="25C912FE"/>
    <w:rsid w:val="269A53D3"/>
    <w:rsid w:val="26E1039F"/>
    <w:rsid w:val="27DD0604"/>
    <w:rsid w:val="290D5FB3"/>
    <w:rsid w:val="2A9E1AF0"/>
    <w:rsid w:val="2EC57195"/>
    <w:rsid w:val="304660EE"/>
    <w:rsid w:val="30AE4E06"/>
    <w:rsid w:val="310E6468"/>
    <w:rsid w:val="31324BCD"/>
    <w:rsid w:val="315923A4"/>
    <w:rsid w:val="31E01808"/>
    <w:rsid w:val="340D70E3"/>
    <w:rsid w:val="3453628C"/>
    <w:rsid w:val="36581BEF"/>
    <w:rsid w:val="36F62ACF"/>
    <w:rsid w:val="379B7D06"/>
    <w:rsid w:val="38DD234A"/>
    <w:rsid w:val="3A2A67B7"/>
    <w:rsid w:val="3A3060CB"/>
    <w:rsid w:val="3C974D64"/>
    <w:rsid w:val="3DDA7CA4"/>
    <w:rsid w:val="3FF17081"/>
    <w:rsid w:val="41356AF2"/>
    <w:rsid w:val="414117D3"/>
    <w:rsid w:val="42E71E4A"/>
    <w:rsid w:val="43AA0A1A"/>
    <w:rsid w:val="43F02E86"/>
    <w:rsid w:val="44445222"/>
    <w:rsid w:val="44A1682D"/>
    <w:rsid w:val="44AB7D67"/>
    <w:rsid w:val="483B786C"/>
    <w:rsid w:val="48A052F0"/>
    <w:rsid w:val="48FD2CBF"/>
    <w:rsid w:val="49B64C17"/>
    <w:rsid w:val="4A774EAF"/>
    <w:rsid w:val="4A901B65"/>
    <w:rsid w:val="4A970401"/>
    <w:rsid w:val="4B8B563D"/>
    <w:rsid w:val="4C5B1D93"/>
    <w:rsid w:val="4C8773D6"/>
    <w:rsid w:val="4C8E6465"/>
    <w:rsid w:val="4CF3184A"/>
    <w:rsid w:val="4D113017"/>
    <w:rsid w:val="4D1A1E41"/>
    <w:rsid w:val="4FCE0B81"/>
    <w:rsid w:val="50544212"/>
    <w:rsid w:val="515B15FC"/>
    <w:rsid w:val="5299691E"/>
    <w:rsid w:val="531752DB"/>
    <w:rsid w:val="53E268F1"/>
    <w:rsid w:val="543B1246"/>
    <w:rsid w:val="54886867"/>
    <w:rsid w:val="54D6161E"/>
    <w:rsid w:val="579E3070"/>
    <w:rsid w:val="582C5F77"/>
    <w:rsid w:val="58B32F76"/>
    <w:rsid w:val="591D1716"/>
    <w:rsid w:val="59476261"/>
    <w:rsid w:val="59F96BAF"/>
    <w:rsid w:val="5A3126AE"/>
    <w:rsid w:val="5A9A7B03"/>
    <w:rsid w:val="5AA83CF1"/>
    <w:rsid w:val="5CA6431C"/>
    <w:rsid w:val="5D53601F"/>
    <w:rsid w:val="5E374037"/>
    <w:rsid w:val="5E535479"/>
    <w:rsid w:val="5F892649"/>
    <w:rsid w:val="62101E85"/>
    <w:rsid w:val="633831BC"/>
    <w:rsid w:val="642D3DC4"/>
    <w:rsid w:val="67647E7D"/>
    <w:rsid w:val="685643D3"/>
    <w:rsid w:val="68B34A7D"/>
    <w:rsid w:val="68DC27C4"/>
    <w:rsid w:val="6A773311"/>
    <w:rsid w:val="6A955530"/>
    <w:rsid w:val="6BAB7A5B"/>
    <w:rsid w:val="6D86319F"/>
    <w:rsid w:val="6E4829A7"/>
    <w:rsid w:val="6F6B56AF"/>
    <w:rsid w:val="716740E2"/>
    <w:rsid w:val="721539DB"/>
    <w:rsid w:val="733517CB"/>
    <w:rsid w:val="73A734AF"/>
    <w:rsid w:val="741C55A9"/>
    <w:rsid w:val="75123A2B"/>
    <w:rsid w:val="76090E55"/>
    <w:rsid w:val="77E43EAC"/>
    <w:rsid w:val="790E26F2"/>
    <w:rsid w:val="7A535E6C"/>
    <w:rsid w:val="7B582008"/>
    <w:rsid w:val="7B867AD4"/>
    <w:rsid w:val="7C053676"/>
    <w:rsid w:val="7C054C4A"/>
    <w:rsid w:val="7DA1507F"/>
    <w:rsid w:val="7EB32EAB"/>
    <w:rsid w:val="7F6571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Times New Roman" w:hAnsi="Times New Roman" w:cs="Times New Roman"/>
      <w:sz w:val="20"/>
      <w:szCs w:val="20"/>
    </w:rPr>
    <w:tblPr>
      <w:tblCellMar>
        <w:top w:w="0" w:type="dxa"/>
        <w:left w:w="108" w:type="dxa"/>
        <w:bottom w:w="0" w:type="dxa"/>
        <w:right w:w="108" w:type="dxa"/>
      </w:tblCellMar>
    </w:tblPr>
  </w:style>
  <w:style w:type="paragraph" w:styleId="2">
    <w:name w:val="annotation text"/>
    <w:basedOn w:val="1"/>
    <w:link w:val="18"/>
    <w:semiHidden/>
    <w:unhideWhenUsed/>
    <w:qFormat/>
    <w:uiPriority w:val="99"/>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19"/>
    <w:semiHidden/>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semiHidden/>
    <w:unhideWhenUsed/>
    <w:qFormat/>
    <w:uiPriority w:val="99"/>
    <w:rPr>
      <w:color w:val="864654"/>
      <w:u w:val="single"/>
    </w:rPr>
  </w:style>
  <w:style w:type="character" w:styleId="12">
    <w:name w:val="annotation reference"/>
    <w:semiHidden/>
    <w:unhideWhenUsed/>
    <w:qFormat/>
    <w:uiPriority w:val="99"/>
    <w:rPr>
      <w:sz w:val="21"/>
      <w:szCs w:val="21"/>
    </w:rPr>
  </w:style>
  <w:style w:type="paragraph" w:customStyle="1" w:styleId="13">
    <w:name w:val="Default"/>
    <w:qFormat/>
    <w:uiPriority w:val="0"/>
    <w:pPr>
      <w:widowControl w:val="0"/>
      <w:autoSpaceDE w:val="0"/>
      <w:autoSpaceDN w:val="0"/>
      <w:adjustRightInd w:val="0"/>
    </w:pPr>
    <w:rPr>
      <w:rFonts w:ascii="Arial Unicode MS" w:hAnsi="Calibri" w:eastAsia="Arial Unicode MS" w:cs="Arial Unicode MS"/>
      <w:color w:val="000000"/>
      <w:sz w:val="24"/>
      <w:szCs w:val="24"/>
      <w:lang w:val="en-US" w:eastAsia="zh-CN" w:bidi="ar-SA"/>
    </w:rPr>
  </w:style>
  <w:style w:type="paragraph" w:customStyle="1" w:styleId="14">
    <w:name w:val="CM3"/>
    <w:basedOn w:val="13"/>
    <w:next w:val="13"/>
    <w:qFormat/>
    <w:uiPriority w:val="0"/>
    <w:pPr>
      <w:spacing w:line="468" w:lineRule="atLeast"/>
    </w:pPr>
    <w:rPr>
      <w:rFonts w:ascii="宋体" w:hAnsi="Times New Roman" w:eastAsia="宋体" w:cs="宋体"/>
      <w:color w:val="auto"/>
    </w:rPr>
  </w:style>
  <w:style w:type="character" w:customStyle="1" w:styleId="15">
    <w:name w:val="页眉 字符"/>
    <w:link w:val="5"/>
    <w:qFormat/>
    <w:uiPriority w:val="99"/>
    <w:rPr>
      <w:rFonts w:ascii="Times New Roman" w:hAnsi="Times New Roman" w:eastAsia="宋体"/>
      <w:kern w:val="2"/>
      <w:sz w:val="18"/>
      <w:szCs w:val="18"/>
    </w:rPr>
  </w:style>
  <w:style w:type="character" w:customStyle="1" w:styleId="16">
    <w:name w:val="页脚 字符"/>
    <w:link w:val="4"/>
    <w:qFormat/>
    <w:uiPriority w:val="99"/>
    <w:rPr>
      <w:rFonts w:ascii="Times New Roman" w:hAnsi="Times New Roman" w:eastAsia="宋体"/>
      <w:kern w:val="2"/>
      <w:sz w:val="18"/>
      <w:szCs w:val="18"/>
    </w:rPr>
  </w:style>
  <w:style w:type="character" w:customStyle="1" w:styleId="17">
    <w:name w:val="批注框文本 字符"/>
    <w:link w:val="3"/>
    <w:semiHidden/>
    <w:qFormat/>
    <w:uiPriority w:val="99"/>
    <w:rPr>
      <w:rFonts w:ascii="Times New Roman" w:hAnsi="Times New Roman" w:eastAsia="宋体"/>
      <w:kern w:val="2"/>
      <w:sz w:val="18"/>
      <w:szCs w:val="18"/>
    </w:rPr>
  </w:style>
  <w:style w:type="character" w:customStyle="1" w:styleId="18">
    <w:name w:val="批注文字 字符"/>
    <w:link w:val="2"/>
    <w:semiHidden/>
    <w:qFormat/>
    <w:uiPriority w:val="99"/>
    <w:rPr>
      <w:rFonts w:ascii="Times New Roman" w:hAnsi="Times New Roman" w:eastAsia="宋体"/>
      <w:kern w:val="2"/>
      <w:sz w:val="21"/>
    </w:rPr>
  </w:style>
  <w:style w:type="character" w:customStyle="1" w:styleId="19">
    <w:name w:val="批注主题 字符"/>
    <w:link w:val="7"/>
    <w:semiHidden/>
    <w:qFormat/>
    <w:uiPriority w:val="99"/>
    <w:rPr>
      <w:rFonts w:ascii="Times New Roman" w:hAnsi="Times New Roman" w:eastAsia="宋体"/>
      <w:b/>
      <w:bCs/>
      <w:kern w:val="2"/>
      <w:sz w:val="21"/>
    </w:rPr>
  </w:style>
  <w:style w:type="paragraph" w:customStyle="1" w:styleId="20">
    <w:name w:val="修订1"/>
    <w:hidden/>
    <w:semiHidden/>
    <w:qFormat/>
    <w:uiPriority w:val="99"/>
    <w:rPr>
      <w:rFonts w:ascii="宋体" w:hAnsi="宋体" w:eastAsia="宋体" w:cs="宋体"/>
      <w:sz w:val="24"/>
      <w:szCs w:val="24"/>
      <w:lang w:val="en-US" w:eastAsia="zh-CN" w:bidi="ar-SA"/>
    </w:rPr>
  </w:style>
  <w:style w:type="paragraph" w:styleId="21">
    <w:name w:val="List Paragraph"/>
    <w:basedOn w:val="1"/>
    <w:qFormat/>
    <w:uiPriority w:val="34"/>
    <w:pPr>
      <w:widowControl w:val="0"/>
      <w:ind w:firstLine="420" w:firstLineChars="200"/>
      <w:jc w:val="both"/>
    </w:pPr>
    <w:rPr>
      <w:rFonts w:ascii="Times New Roman" w:hAnsi="Times New Roman" w:cs="Times New Roman"/>
      <w:kern w:val="2"/>
      <w:sz w:val="21"/>
      <w:szCs w:val="20"/>
    </w:rPr>
  </w:style>
  <w:style w:type="character" w:customStyle="1" w:styleId="22">
    <w:name w:val="font11"/>
    <w:basedOn w:val="10"/>
    <w:qFormat/>
    <w:uiPriority w:val="0"/>
    <w:rPr>
      <w:rFonts w:hint="default" w:ascii="Times New Roman" w:hAnsi="Times New Roman" w:cs="Times New Roman"/>
      <w:b/>
      <w:bCs/>
      <w:color w:val="000000"/>
      <w:sz w:val="18"/>
      <w:szCs w:val="18"/>
      <w:u w:val="none"/>
    </w:rPr>
  </w:style>
  <w:style w:type="character" w:customStyle="1" w:styleId="23">
    <w:name w:val="font21"/>
    <w:basedOn w:val="10"/>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144DA9-1737-4483-AB7E-46972838C8B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1792</Words>
  <Characters>10217</Characters>
  <Lines>85</Lines>
  <Paragraphs>23</Paragraphs>
  <TotalTime>1</TotalTime>
  <ScaleCrop>false</ScaleCrop>
  <LinksUpToDate>false</LinksUpToDate>
  <CharactersWithSpaces>11986</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2020-04-26T09:59:00Z</dcterms:created>
  <dc:creator>USER</dc:creator>
  <cp:lastModifiedBy>牟海涛</cp:lastModifiedBy>
  <cp:lastPrinted>2019-04-17T08:50:00Z</cp:lastPrinted>
  <dcterms:modified xsi:type="dcterms:W3CDTF">2023-04-25T11:01:24Z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