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0"/>
        <w:tblW w:w="5000" w:type="pct"/>
        <w:tblInd w:w="0" w:type="dxa"/>
        <w:tblLayout w:type="autofit"/>
        <w:tblCellMar>
          <w:top w:w="0" w:type="dxa"/>
          <w:left w:w="108" w:type="dxa"/>
          <w:bottom w:w="0" w:type="dxa"/>
          <w:right w:w="108" w:type="dxa"/>
        </w:tblCellMar>
      </w:tblPr>
      <w:tblGrid>
        <w:gridCol w:w="2906"/>
        <w:gridCol w:w="2907"/>
        <w:gridCol w:w="2907"/>
      </w:tblGrid>
      <w:tr>
        <w:tblPrEx>
          <w:tblCellMar>
            <w:top w:w="0" w:type="dxa"/>
            <w:left w:w="108" w:type="dxa"/>
            <w:bottom w:w="0" w:type="dxa"/>
            <w:right w:w="108" w:type="dxa"/>
          </w:tblCellMar>
        </w:tblPrEx>
        <w:trPr>
          <w:wBefore w:w="0" w:type="dxa"/>
          <w:wAfter w:w="0" w:type="dxa"/>
        </w:trPr>
        <w:tc>
          <w:tcPr>
            <w:tcW w:w="1666" w:type="pct"/>
            <w:noWrap w:val="0"/>
            <w:vAlign w:val="top"/>
          </w:tcPr>
          <w:p>
            <w:pPr>
              <w:adjustRightInd w:val="0"/>
              <w:snapToGrid w:val="0"/>
              <w:spacing w:line="440" w:lineRule="exact"/>
              <w:rPr>
                <w:sz w:val="24"/>
              </w:rPr>
            </w:pPr>
            <w:bookmarkStart w:id="1" w:name="_GoBack"/>
            <w:bookmarkEnd w:id="1"/>
            <w:r>
              <w:rPr>
                <w:sz w:val="24"/>
              </w:rPr>
              <w:t>证券代码：000881</w:t>
            </w:r>
          </w:p>
        </w:tc>
        <w:tc>
          <w:tcPr>
            <w:tcW w:w="1667" w:type="pct"/>
            <w:noWrap w:val="0"/>
            <w:vAlign w:val="top"/>
          </w:tcPr>
          <w:p>
            <w:pPr>
              <w:adjustRightInd w:val="0"/>
              <w:snapToGrid w:val="0"/>
              <w:spacing w:line="440" w:lineRule="exact"/>
              <w:jc w:val="center"/>
              <w:rPr>
                <w:sz w:val="24"/>
              </w:rPr>
            </w:pPr>
            <w:r>
              <w:rPr>
                <w:sz w:val="24"/>
              </w:rPr>
              <w:t>证券简称：中广核技</w:t>
            </w:r>
          </w:p>
        </w:tc>
        <w:tc>
          <w:tcPr>
            <w:tcW w:w="1667" w:type="pct"/>
            <w:noWrap w:val="0"/>
            <w:vAlign w:val="top"/>
          </w:tcPr>
          <w:p>
            <w:pPr>
              <w:wordWrap w:val="0"/>
              <w:adjustRightInd w:val="0"/>
              <w:snapToGrid w:val="0"/>
              <w:spacing w:line="440" w:lineRule="exact"/>
              <w:jc w:val="right"/>
              <w:rPr>
                <w:color w:val="0000FF"/>
                <w:sz w:val="24"/>
              </w:rPr>
            </w:pPr>
            <w:r>
              <w:rPr>
                <w:sz w:val="24"/>
              </w:rPr>
              <w:t>公告编号：202</w:t>
            </w:r>
            <w:r>
              <w:rPr>
                <w:rFonts w:hint="eastAsia"/>
                <w:sz w:val="24"/>
              </w:rPr>
              <w:t>3</w:t>
            </w:r>
            <w:r>
              <w:rPr>
                <w:sz w:val="24"/>
              </w:rPr>
              <w:t>-0</w:t>
            </w:r>
            <w:r>
              <w:rPr>
                <w:rFonts w:hint="eastAsia"/>
                <w:sz w:val="24"/>
                <w:lang w:val="en-US" w:eastAsia="zh-CN"/>
              </w:rPr>
              <w:t>8</w:t>
            </w:r>
            <w:r>
              <w:rPr>
                <w:rFonts w:hint="eastAsia"/>
                <w:sz w:val="24"/>
              </w:rPr>
              <w:t>5</w:t>
            </w:r>
            <w:r>
              <w:rPr>
                <w:color w:val="0000FF"/>
                <w:sz w:val="24"/>
              </w:rPr>
              <w:t xml:space="preserve"> </w:t>
            </w:r>
          </w:p>
        </w:tc>
      </w:tr>
    </w:tbl>
    <w:p>
      <w:pPr>
        <w:snapToGrid w:val="0"/>
        <w:spacing w:before="156" w:beforeLines="50"/>
        <w:jc w:val="center"/>
        <w:rPr>
          <w:b/>
          <w:sz w:val="36"/>
          <w:szCs w:val="36"/>
        </w:rPr>
      </w:pPr>
      <w:r>
        <w:rPr>
          <w:b/>
          <w:sz w:val="36"/>
          <w:szCs w:val="36"/>
        </w:rPr>
        <w:t>中广核核技术发展股份有限公司</w:t>
      </w:r>
    </w:p>
    <w:p>
      <w:pPr>
        <w:snapToGrid w:val="0"/>
        <w:jc w:val="center"/>
        <w:rPr>
          <w:b/>
          <w:sz w:val="36"/>
          <w:szCs w:val="36"/>
        </w:rPr>
      </w:pPr>
      <w:r>
        <w:rPr>
          <w:b/>
          <w:sz w:val="36"/>
          <w:szCs w:val="36"/>
        </w:rPr>
        <w:t>202</w:t>
      </w:r>
      <w:r>
        <w:rPr>
          <w:rFonts w:hint="eastAsia"/>
          <w:b/>
          <w:sz w:val="36"/>
          <w:szCs w:val="36"/>
        </w:rPr>
        <w:t>3</w:t>
      </w:r>
      <w:r>
        <w:rPr>
          <w:b/>
          <w:sz w:val="36"/>
          <w:szCs w:val="36"/>
        </w:rPr>
        <w:t>年第</w:t>
      </w:r>
      <w:r>
        <w:rPr>
          <w:rFonts w:hint="eastAsia"/>
          <w:b/>
          <w:sz w:val="36"/>
          <w:szCs w:val="36"/>
          <w:lang w:val="en-US" w:eastAsia="zh-CN"/>
        </w:rPr>
        <w:t>五</w:t>
      </w:r>
      <w:r>
        <w:rPr>
          <w:rFonts w:hint="eastAsia"/>
          <w:b/>
          <w:sz w:val="36"/>
          <w:szCs w:val="36"/>
        </w:rPr>
        <w:t>次</w:t>
      </w:r>
      <w:r>
        <w:rPr>
          <w:b/>
          <w:sz w:val="36"/>
          <w:szCs w:val="36"/>
        </w:rPr>
        <w:t>临时股东大会决议公告</w:t>
      </w:r>
    </w:p>
    <w:p>
      <w:pPr>
        <w:snapToGrid w:val="0"/>
        <w:spacing w:before="156" w:beforeLines="50" w:line="360" w:lineRule="auto"/>
        <w:ind w:firstLine="422" w:firstLineChars="200"/>
        <w:rPr>
          <w:b/>
          <w:szCs w:val="21"/>
        </w:rPr>
      </w:pPr>
      <w:r>
        <w:rPr>
          <w:b/>
          <w:szCs w:val="21"/>
        </w:rPr>
        <w:t>本公司及董事会全体成员保证信息披露的内容真实、准确、完整，没有虚假记载、误导性陈述或重大遗漏。</w:t>
      </w:r>
    </w:p>
    <w:p>
      <w:pPr>
        <w:snapToGrid w:val="0"/>
        <w:spacing w:line="440" w:lineRule="exact"/>
        <w:ind w:firstLine="482" w:firstLineChars="200"/>
        <w:rPr>
          <w:b/>
          <w:sz w:val="24"/>
        </w:rPr>
      </w:pPr>
      <w:r>
        <w:rPr>
          <w:b/>
          <w:sz w:val="24"/>
        </w:rPr>
        <w:t>特别提示：</w:t>
      </w:r>
    </w:p>
    <w:p>
      <w:pPr>
        <w:snapToGrid w:val="0"/>
        <w:spacing w:line="440" w:lineRule="exact"/>
        <w:ind w:firstLine="480" w:firstLineChars="200"/>
        <w:rPr>
          <w:sz w:val="24"/>
        </w:rPr>
      </w:pPr>
      <w:r>
        <w:rPr>
          <w:sz w:val="24"/>
        </w:rPr>
        <w:t>1、本次股东大会未出现否决议案的情形。</w:t>
      </w:r>
    </w:p>
    <w:p>
      <w:pPr>
        <w:snapToGrid w:val="0"/>
        <w:spacing w:line="440" w:lineRule="exact"/>
        <w:ind w:firstLine="480" w:firstLineChars="200"/>
        <w:rPr>
          <w:sz w:val="24"/>
        </w:rPr>
      </w:pPr>
      <w:r>
        <w:rPr>
          <w:sz w:val="24"/>
        </w:rPr>
        <w:t>2、本次股东大会不涉及变更以往股东大会已通过的决议。</w:t>
      </w:r>
    </w:p>
    <w:p>
      <w:pPr>
        <w:snapToGrid w:val="0"/>
        <w:spacing w:before="156" w:beforeLines="50" w:line="440" w:lineRule="exact"/>
        <w:ind w:firstLine="482" w:firstLineChars="200"/>
        <w:outlineLvl w:val="0"/>
        <w:rPr>
          <w:b/>
          <w:sz w:val="24"/>
        </w:rPr>
      </w:pPr>
      <w:r>
        <w:rPr>
          <w:b/>
          <w:sz w:val="24"/>
        </w:rPr>
        <w:t>一、会议召开和出席情况</w:t>
      </w:r>
    </w:p>
    <w:p>
      <w:pPr>
        <w:snapToGrid w:val="0"/>
        <w:spacing w:line="440" w:lineRule="exact"/>
        <w:ind w:firstLine="482" w:firstLineChars="200"/>
        <w:outlineLvl w:val="1"/>
        <w:rPr>
          <w:b/>
          <w:sz w:val="24"/>
        </w:rPr>
      </w:pPr>
      <w:r>
        <w:rPr>
          <w:b/>
          <w:sz w:val="24"/>
        </w:rPr>
        <w:t>（一）会议召开情况</w:t>
      </w:r>
    </w:p>
    <w:p>
      <w:pPr>
        <w:snapToGrid w:val="0"/>
        <w:spacing w:line="440" w:lineRule="exact"/>
        <w:ind w:firstLine="480" w:firstLineChars="200"/>
        <w:rPr>
          <w:sz w:val="24"/>
        </w:rPr>
      </w:pPr>
      <w:r>
        <w:rPr>
          <w:sz w:val="24"/>
        </w:rPr>
        <w:t>1、会议召开的日期、时间：</w:t>
      </w:r>
    </w:p>
    <w:p>
      <w:pPr>
        <w:pStyle w:val="24"/>
        <w:spacing w:line="440" w:lineRule="exact"/>
        <w:ind w:firstLine="480" w:firstLineChars="200"/>
        <w:rPr>
          <w:rFonts w:ascii="Times New Roman" w:cs="Times New Roman"/>
          <w:color w:val="auto"/>
          <w:kern w:val="2"/>
        </w:rPr>
      </w:pPr>
      <w:r>
        <w:rPr>
          <w:rFonts w:ascii="Times New Roman" w:cs="Times New Roman"/>
          <w:color w:val="auto"/>
          <w:kern w:val="2"/>
        </w:rPr>
        <w:t>（1）现场会议召开日期、时间：</w:t>
      </w:r>
      <w:r>
        <w:rPr>
          <w:rFonts w:ascii="Times New Roman" w:cs="Times New Roman"/>
        </w:rPr>
        <w:t>2023年</w:t>
      </w:r>
      <w:r>
        <w:rPr>
          <w:rFonts w:hint="eastAsia" w:ascii="Times New Roman" w:cs="Times New Roman"/>
          <w:lang w:val="en-US" w:eastAsia="zh-CN"/>
        </w:rPr>
        <w:t>9</w:t>
      </w:r>
      <w:r>
        <w:rPr>
          <w:rFonts w:ascii="Times New Roman" w:cs="Times New Roman"/>
        </w:rPr>
        <w:t>月</w:t>
      </w:r>
      <w:r>
        <w:rPr>
          <w:rFonts w:hint="eastAsia" w:ascii="Times New Roman" w:cs="Times New Roman"/>
        </w:rPr>
        <w:t>2</w:t>
      </w:r>
      <w:r>
        <w:rPr>
          <w:rFonts w:hint="eastAsia" w:ascii="Times New Roman" w:cs="Times New Roman"/>
          <w:lang w:val="en-US" w:eastAsia="zh-CN"/>
        </w:rPr>
        <w:t>0</w:t>
      </w:r>
      <w:r>
        <w:rPr>
          <w:rFonts w:ascii="Times New Roman" w:cs="Times New Roman"/>
        </w:rPr>
        <w:t>日（星期</w:t>
      </w:r>
      <w:r>
        <w:rPr>
          <w:rFonts w:hint="eastAsia" w:ascii="Times New Roman" w:cs="Times New Roman"/>
        </w:rPr>
        <w:t>三</w:t>
      </w:r>
      <w:r>
        <w:rPr>
          <w:rFonts w:ascii="Times New Roman" w:cs="Times New Roman"/>
        </w:rPr>
        <w:t>）下午2:30；</w:t>
      </w:r>
    </w:p>
    <w:p>
      <w:pPr>
        <w:pStyle w:val="24"/>
        <w:spacing w:line="440" w:lineRule="exact"/>
        <w:ind w:firstLine="480" w:firstLineChars="200"/>
        <w:jc w:val="both"/>
        <w:rPr>
          <w:rFonts w:ascii="Times New Roman" w:cs="Times New Roman"/>
          <w:color w:val="auto"/>
          <w:kern w:val="2"/>
        </w:rPr>
      </w:pPr>
      <w:r>
        <w:rPr>
          <w:rFonts w:ascii="Times New Roman" w:cs="Times New Roman"/>
          <w:color w:val="auto"/>
          <w:kern w:val="2"/>
        </w:rPr>
        <w:t>（2）网络投票日期、时间：通过深圳证券交易所交易系统进行网络投票的具体时间为：2023年</w:t>
      </w:r>
      <w:r>
        <w:rPr>
          <w:rFonts w:hint="eastAsia" w:ascii="Times New Roman" w:cs="Times New Roman"/>
          <w:color w:val="auto"/>
          <w:kern w:val="2"/>
          <w:lang w:val="en-US" w:eastAsia="zh-CN"/>
        </w:rPr>
        <w:t>9</w:t>
      </w:r>
      <w:r>
        <w:rPr>
          <w:rFonts w:ascii="Times New Roman" w:cs="Times New Roman"/>
          <w:color w:val="auto"/>
          <w:kern w:val="2"/>
        </w:rPr>
        <w:t>月</w:t>
      </w:r>
      <w:r>
        <w:rPr>
          <w:rFonts w:hint="eastAsia" w:ascii="Times New Roman" w:cs="Times New Roman"/>
          <w:color w:val="auto"/>
          <w:kern w:val="2"/>
        </w:rPr>
        <w:t>2</w:t>
      </w:r>
      <w:r>
        <w:rPr>
          <w:rFonts w:hint="eastAsia" w:ascii="Times New Roman" w:cs="Times New Roman"/>
          <w:color w:val="auto"/>
          <w:kern w:val="2"/>
          <w:lang w:val="en-US" w:eastAsia="zh-CN"/>
        </w:rPr>
        <w:t>0</w:t>
      </w:r>
      <w:r>
        <w:rPr>
          <w:rFonts w:ascii="Times New Roman" w:cs="Times New Roman"/>
          <w:color w:val="auto"/>
          <w:kern w:val="2"/>
        </w:rPr>
        <w:t>日上午9:15至9:25、9:30至11:30、下午1:00至3:00；通过深圳证券交易所互联网投票系统投票的具体时间为2023年</w:t>
      </w:r>
      <w:r>
        <w:rPr>
          <w:rFonts w:hint="eastAsia" w:ascii="Times New Roman" w:cs="Times New Roman"/>
          <w:color w:val="auto"/>
          <w:kern w:val="2"/>
          <w:lang w:val="en-US" w:eastAsia="zh-CN"/>
        </w:rPr>
        <w:t>9</w:t>
      </w:r>
      <w:r>
        <w:rPr>
          <w:rFonts w:ascii="Times New Roman" w:cs="Times New Roman"/>
          <w:color w:val="auto"/>
          <w:kern w:val="2"/>
        </w:rPr>
        <w:t>月</w:t>
      </w:r>
      <w:r>
        <w:rPr>
          <w:rFonts w:hint="eastAsia" w:ascii="Times New Roman" w:cs="Times New Roman"/>
          <w:color w:val="auto"/>
          <w:kern w:val="2"/>
        </w:rPr>
        <w:t>2</w:t>
      </w:r>
      <w:r>
        <w:rPr>
          <w:rFonts w:hint="eastAsia" w:ascii="Times New Roman" w:cs="Times New Roman"/>
          <w:color w:val="auto"/>
          <w:kern w:val="2"/>
          <w:lang w:val="en-US" w:eastAsia="zh-CN"/>
        </w:rPr>
        <w:t>0</w:t>
      </w:r>
      <w:r>
        <w:rPr>
          <w:rFonts w:ascii="Times New Roman" w:cs="Times New Roman"/>
          <w:color w:val="auto"/>
          <w:kern w:val="2"/>
        </w:rPr>
        <w:t>日上午9:15至下午3:00期间的任意时间。</w:t>
      </w:r>
    </w:p>
    <w:p>
      <w:pPr>
        <w:pStyle w:val="24"/>
        <w:spacing w:line="440" w:lineRule="exact"/>
        <w:ind w:firstLine="480" w:firstLineChars="200"/>
        <w:rPr>
          <w:rFonts w:ascii="Times New Roman" w:cs="Times New Roman"/>
          <w:color w:val="auto"/>
          <w:kern w:val="2"/>
        </w:rPr>
      </w:pPr>
      <w:r>
        <w:rPr>
          <w:rFonts w:ascii="Times New Roman" w:cs="Times New Roman"/>
          <w:color w:val="auto"/>
          <w:kern w:val="2"/>
        </w:rPr>
        <w:t>2、会议召开方式：本次股东大会采取现场投票与网络投票相结合的方式。</w:t>
      </w:r>
    </w:p>
    <w:p>
      <w:pPr>
        <w:snapToGrid w:val="0"/>
        <w:spacing w:line="440" w:lineRule="exact"/>
        <w:ind w:firstLine="480" w:firstLineChars="200"/>
        <w:rPr>
          <w:sz w:val="24"/>
        </w:rPr>
      </w:pPr>
      <w:r>
        <w:rPr>
          <w:sz w:val="24"/>
        </w:rPr>
        <w:t>3、现场会议召开地点：深圳市福田区深南大道2002号中广核大厦北楼19层881会议室。</w:t>
      </w:r>
    </w:p>
    <w:p>
      <w:pPr>
        <w:snapToGrid w:val="0"/>
        <w:spacing w:line="440" w:lineRule="exact"/>
        <w:ind w:firstLine="480" w:firstLineChars="200"/>
        <w:rPr>
          <w:sz w:val="24"/>
        </w:rPr>
      </w:pPr>
      <w:r>
        <w:rPr>
          <w:sz w:val="24"/>
        </w:rPr>
        <w:t>4、召集人：公司董事会。</w:t>
      </w:r>
    </w:p>
    <w:p>
      <w:pPr>
        <w:snapToGrid w:val="0"/>
        <w:spacing w:line="440" w:lineRule="exact"/>
        <w:ind w:firstLine="480" w:firstLineChars="200"/>
        <w:rPr>
          <w:sz w:val="24"/>
        </w:rPr>
      </w:pPr>
      <w:r>
        <w:rPr>
          <w:sz w:val="24"/>
        </w:rPr>
        <w:t>5、主持人：</w:t>
      </w:r>
      <w:r>
        <w:rPr>
          <w:rFonts w:hint="eastAsia"/>
          <w:sz w:val="24"/>
        </w:rPr>
        <w:t>董事长</w:t>
      </w:r>
      <w:r>
        <w:rPr>
          <w:rFonts w:hint="eastAsia"/>
          <w:sz w:val="24"/>
          <w:lang w:val="en-US" w:eastAsia="zh-CN"/>
        </w:rPr>
        <w:t>李勇</w:t>
      </w:r>
      <w:r>
        <w:rPr>
          <w:rFonts w:hint="eastAsia"/>
          <w:sz w:val="24"/>
        </w:rPr>
        <w:t>先生</w:t>
      </w:r>
      <w:r>
        <w:rPr>
          <w:sz w:val="24"/>
        </w:rPr>
        <w:t>。</w:t>
      </w:r>
    </w:p>
    <w:p>
      <w:pPr>
        <w:snapToGrid w:val="0"/>
        <w:spacing w:line="440" w:lineRule="exact"/>
        <w:ind w:firstLine="480" w:firstLineChars="200"/>
        <w:rPr>
          <w:sz w:val="24"/>
        </w:rPr>
      </w:pPr>
      <w:r>
        <w:rPr>
          <w:sz w:val="24"/>
        </w:rPr>
        <w:t>6、会议召开的合法、合规性：本次股东大会</w:t>
      </w:r>
      <w:r>
        <w:rPr>
          <w:kern w:val="0"/>
          <w:sz w:val="24"/>
        </w:rPr>
        <w:t>的召开符合《公司法》、《上市公司股东大会规则》、《深圳证券交易所股票上市规则》等有关法律法规和《公司章程》的规定。</w:t>
      </w:r>
    </w:p>
    <w:p>
      <w:pPr>
        <w:snapToGrid w:val="0"/>
        <w:spacing w:line="440" w:lineRule="exact"/>
        <w:ind w:firstLine="482" w:firstLineChars="200"/>
        <w:outlineLvl w:val="1"/>
        <w:rPr>
          <w:b/>
          <w:sz w:val="24"/>
        </w:rPr>
      </w:pPr>
      <w:r>
        <w:rPr>
          <w:b/>
          <w:sz w:val="24"/>
        </w:rPr>
        <w:t>（二）会议出席情况</w:t>
      </w:r>
    </w:p>
    <w:p>
      <w:pPr>
        <w:autoSpaceDE w:val="0"/>
        <w:autoSpaceDN w:val="0"/>
        <w:adjustRightInd w:val="0"/>
        <w:spacing w:line="440" w:lineRule="exact"/>
        <w:ind w:firstLine="480" w:firstLineChars="200"/>
        <w:rPr>
          <w:kern w:val="0"/>
          <w:sz w:val="24"/>
        </w:rPr>
      </w:pPr>
      <w:r>
        <w:rPr>
          <w:kern w:val="0"/>
          <w:sz w:val="24"/>
        </w:rPr>
        <w:t>1、股东出席会议的总体情况</w:t>
      </w:r>
    </w:p>
    <w:p>
      <w:pPr>
        <w:autoSpaceDE w:val="0"/>
        <w:autoSpaceDN w:val="0"/>
        <w:adjustRightInd w:val="0"/>
        <w:spacing w:line="440" w:lineRule="exact"/>
        <w:ind w:firstLine="480" w:firstLineChars="200"/>
        <w:rPr>
          <w:rFonts w:hint="eastAsia"/>
          <w:kern w:val="0"/>
          <w:sz w:val="24"/>
          <w:highlight w:val="none"/>
        </w:rPr>
      </w:pPr>
      <w:r>
        <w:rPr>
          <w:rFonts w:hint="eastAsia"/>
          <w:kern w:val="0"/>
          <w:sz w:val="24"/>
          <w:highlight w:val="none"/>
        </w:rPr>
        <w:t>通过现场和网络投票的股东51人，代表股份226,377,820股，占上市公司总股份的23.9445％。其中：通过现场投票的股东15人，代表股份177,650,167股，占上市公司总股份的18.7905％。通过网络投票的股东36人，代表股份48,727,653股，占上市公司总股份的5.1540％。</w:t>
      </w:r>
    </w:p>
    <w:p>
      <w:pPr>
        <w:autoSpaceDE w:val="0"/>
        <w:autoSpaceDN w:val="0"/>
        <w:adjustRightInd w:val="0"/>
        <w:spacing w:line="440" w:lineRule="exact"/>
        <w:ind w:firstLine="480" w:firstLineChars="200"/>
        <w:rPr>
          <w:kern w:val="0"/>
          <w:sz w:val="24"/>
          <w:highlight w:val="none"/>
        </w:rPr>
      </w:pPr>
      <w:r>
        <w:rPr>
          <w:kern w:val="0"/>
          <w:sz w:val="24"/>
          <w:highlight w:val="none"/>
        </w:rPr>
        <w:t>2、中小股东出席的总体情况</w:t>
      </w:r>
    </w:p>
    <w:p>
      <w:pPr>
        <w:autoSpaceDE w:val="0"/>
        <w:autoSpaceDN w:val="0"/>
        <w:adjustRightInd w:val="0"/>
        <w:spacing w:line="440" w:lineRule="exact"/>
        <w:ind w:firstLine="480" w:firstLineChars="200"/>
        <w:rPr>
          <w:rFonts w:hint="eastAsia"/>
          <w:kern w:val="0"/>
          <w:sz w:val="24"/>
          <w:highlight w:val="none"/>
        </w:rPr>
      </w:pPr>
      <w:r>
        <w:rPr>
          <w:rFonts w:hint="eastAsia"/>
          <w:kern w:val="0"/>
          <w:sz w:val="24"/>
          <w:highlight w:val="none"/>
        </w:rPr>
        <w:t>通过现场和网络投票的中小股东50人，代表股份107,463,547股，占上市公司总股份的11.3667％。其中：通过现场投票的中小股东14人，代表股份58,735,894股，占上市公司总股份的6.2126％。通过网络投票的中小股东36人，代表股份48,727,653股，占上市公司总股份的5.1540％。</w:t>
      </w:r>
    </w:p>
    <w:p>
      <w:pPr>
        <w:autoSpaceDE w:val="0"/>
        <w:autoSpaceDN w:val="0"/>
        <w:adjustRightInd w:val="0"/>
        <w:spacing w:line="440" w:lineRule="exact"/>
        <w:ind w:firstLine="480" w:firstLineChars="200"/>
        <w:rPr>
          <w:kern w:val="0"/>
          <w:sz w:val="24"/>
          <w:highlight w:val="none"/>
        </w:rPr>
      </w:pPr>
      <w:r>
        <w:rPr>
          <w:kern w:val="0"/>
          <w:sz w:val="24"/>
          <w:highlight w:val="none"/>
        </w:rPr>
        <w:t>3、</w:t>
      </w:r>
      <w:r>
        <w:rPr>
          <w:rFonts w:hint="eastAsia"/>
          <w:kern w:val="0"/>
          <w:sz w:val="24"/>
          <w:highlight w:val="none"/>
        </w:rPr>
        <w:t>公司董事李勇、陈新国、文志涛、吴明日、阎志刚、独立董事黄晓延，监事杨军、王军、夏青，董事会秘书杨新春出席了本次股东大会。公司部分高级管理人员列席了会议。</w:t>
      </w:r>
    </w:p>
    <w:p>
      <w:pPr>
        <w:pStyle w:val="24"/>
        <w:spacing w:line="440" w:lineRule="exact"/>
        <w:ind w:firstLine="480" w:firstLineChars="200"/>
        <w:jc w:val="both"/>
        <w:rPr>
          <w:rFonts w:ascii="Times New Roman" w:cs="Times New Roman"/>
          <w:color w:val="auto"/>
        </w:rPr>
      </w:pPr>
      <w:r>
        <w:rPr>
          <w:rFonts w:ascii="Times New Roman" w:cs="Times New Roman"/>
          <w:color w:val="auto"/>
        </w:rPr>
        <w:t>4、公司聘请的</w:t>
      </w:r>
      <w:r>
        <w:rPr>
          <w:rFonts w:hint="eastAsia" w:ascii="Times New Roman" w:cs="Times New Roman"/>
          <w:color w:val="auto"/>
        </w:rPr>
        <w:t>北京市君合（深圳）律师事务</w:t>
      </w:r>
      <w:r>
        <w:rPr>
          <w:rFonts w:hint="eastAsia" w:ascii="Times New Roman" w:cs="Times New Roman"/>
          <w:color w:val="auto"/>
          <w:highlight w:val="none"/>
        </w:rPr>
        <w:t>所</w:t>
      </w:r>
      <w:r>
        <w:rPr>
          <w:rFonts w:ascii="Times New Roman" w:cs="Times New Roman"/>
          <w:color w:val="auto"/>
          <w:highlight w:val="none"/>
        </w:rPr>
        <w:t>委派</w:t>
      </w:r>
      <w:r>
        <w:rPr>
          <w:rFonts w:hint="eastAsia" w:ascii="Times New Roman" w:cs="Times New Roman"/>
          <w:color w:val="auto"/>
          <w:highlight w:val="none"/>
        </w:rPr>
        <w:t>夏晓露、冉研</w:t>
      </w:r>
      <w:r>
        <w:rPr>
          <w:rFonts w:ascii="Times New Roman" w:cs="Times New Roman"/>
          <w:color w:val="auto"/>
          <w:highlight w:val="none"/>
        </w:rPr>
        <w:t>律</w:t>
      </w:r>
      <w:r>
        <w:rPr>
          <w:rFonts w:ascii="Times New Roman" w:cs="Times New Roman"/>
          <w:color w:val="auto"/>
        </w:rPr>
        <w:t>师对本次股东大会进行见证，并出具《法律意见书》。</w:t>
      </w:r>
    </w:p>
    <w:p>
      <w:pPr>
        <w:snapToGrid w:val="0"/>
        <w:spacing w:line="440" w:lineRule="exact"/>
        <w:ind w:firstLine="482" w:firstLineChars="200"/>
        <w:outlineLvl w:val="0"/>
        <w:rPr>
          <w:b/>
          <w:sz w:val="24"/>
        </w:rPr>
      </w:pPr>
      <w:r>
        <w:rPr>
          <w:b/>
          <w:sz w:val="24"/>
        </w:rPr>
        <w:t>二、议案审议表决情况</w:t>
      </w:r>
    </w:p>
    <w:p>
      <w:pPr>
        <w:pStyle w:val="24"/>
        <w:spacing w:line="440" w:lineRule="exact"/>
        <w:ind w:firstLine="480" w:firstLineChars="200"/>
        <w:jc w:val="both"/>
        <w:rPr>
          <w:rFonts w:ascii="Times New Roman" w:cs="Times New Roman"/>
        </w:rPr>
      </w:pPr>
      <w:r>
        <w:rPr>
          <w:rFonts w:ascii="Times New Roman" w:cs="Times New Roman"/>
        </w:rPr>
        <w:t>本次股东大会议案采用现场投票与网络投票相结合的表决方式，</w:t>
      </w:r>
      <w:r>
        <w:rPr>
          <w:rFonts w:hint="eastAsia" w:ascii="Times New Roman" w:cs="Times New Roman"/>
        </w:rPr>
        <w:t>审议通过了所有议案，关联股东中广核核技术应用有限公司（公司控股股东）及中广核资本控股有限公司（公司控股股东的一致行动人）合计持有的270,469,056 股股份回避表决，所有议案已经获得有效表决权股份总数的2/3以上通过。</w:t>
      </w:r>
      <w:r>
        <w:rPr>
          <w:rFonts w:hint="eastAsia" w:ascii="Times New Roman" w:cs="Times New Roman"/>
          <w:lang w:val="en-US" w:eastAsia="zh-CN"/>
        </w:rPr>
        <w:t>具体</w:t>
      </w:r>
      <w:r>
        <w:rPr>
          <w:rFonts w:ascii="Times New Roman" w:cs="Times New Roman"/>
        </w:rPr>
        <w:t>表决结果如下：</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提案1.00 《关于调整本次交易方案的议案》</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同意222,154,309股，占出席会议所有股东所持股份的98.1343％；反对4,223,511股，占出席会议所有股东所持股份的1.8657％；弃权0股（其中，因未投票默认弃权0股），占出席会议所有股东所持股份的0.0000％。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同意103,240,036股，占出席会议的中小股东所持股份的96.0698％；反对4,223,511股，占出席会议的中小股东所持股份的3.9302％；弃权0股（其中，因未投票默认弃权0股），占出席会议的中小股东所持股份的0.0000％。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提案2.00 《关于本次交易方案调整属于重大调整的议案》</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同意222,154,309股，占出席会议所有股东所持股份的98.1343％；反对4,223,511股，占出席会议所有股东所持股份的1.8657％；弃权0股（其中，因未投票默认弃权0股），占出席会议所有股东所持股份的0.0000％。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同意103,240,036股，占出席会议的中小股东所持股份的96.0698％；反对4,223,511股，占出席会议的中小股东所持股份的3.9302％；弃权0股（其中，因未投票默认弃权0股），占出席会议的中小股东所持股份的0.0000％。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提案3.00 《关于公司符合上市公司发行股份及支付现金购买资产并募集配套资金暨关联交易相关法律、法规规定的议案》</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提案4.00 《关于公司发行股份及支付现金购买资产并募集配套资金暨关联交易方案的议案》</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提案4.01 整体方案概述</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提案4.02 交易对价及支付方式</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提案4.03 股份发行价格、定价原则及合理性分析</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提案4.04 发行价格调整方案</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提案4.05 发行股份的种类、面值及上市地点</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提案4.06 发行股份的数量及占发行后总股本的比例</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提案4.07 业绩承诺及补偿安排</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提案4.08 过渡期损益安排</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eastAsia="宋体" w:cs="Times New Roman"/>
          <w:lang w:val="en-US" w:eastAsia="zh-C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提案4.09 关于滚存未分配利润的安排</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提案4.10 现金支付安排</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同意222,154,309股，占出席会议所有股东所持股份的98.1343％；反对4,223,511股，占出席会议所有股东所持股份的1.8657％；弃权0股（其中，因未投票默认弃权0股），占出席会议所有股东所持股份的0.0000％。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同意103,240,036股，占出席会议的中小股东所持股份的96.0698％；反对4,223,511股，占出席会议的中小股东所持股份的3.9302％；弃权0股（其中，因未投票默认弃权0股），占出席会议的中小股东所持股份的0.0000％。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提案4.11 股份限售期</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提案4.12 发行股份的种类和每股面值</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提案4.13 发行对象和发行方式</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同意222,154,309股，占出席会议所有股东所持股份的98.1343％；反对4,223,511股，占出席会议所有股东所持股份的1.8657％；弃权0股（其中，因未投票默认弃权0股），占出席会议所有股东所持股份的0.0000％。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同意103,240,036股，占出席会议的中小股东所持股份的96.0698％；反对4,223,511股，占出席会议的中小股东所持股份的3.9302％；弃权0股（其中，因未投票默认弃权0股），占出席会议的中小股东所持股份的0.0000％。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提案4.14 发行数量和金额</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提案4.15 发行股份的定价基准日及发行价格</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同意222,154,309股，占出席会议所有股东所持股份的98.1343％；反对4,223,511股，占出席会议所有股东所持股份的1.8657％；弃权0股（其中，因未投票默认弃权0股），占出席会议所有股东所持股份的0.0000％。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同意103,240,036股，占出席会议的中小股东所持股份的96.0698％；反对4,223,511股，占出席会议的中小股东所持股份的3.9302％；弃权0股（其中，因未投票默认弃权0股），占出席会议的中小股东所持股份的0.0000％。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提案4.16 发行股份的上市地点</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提案4.17 募集资金用途</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同意222,154,309股，占出席会议所有股东所持股份的98.1343％；反对4,223,511股，占出席会议所有股东所持股份的1.8657％；弃权0股（其中，因未投票默认弃权0股），占出席会议所有股东所持股份的0.0000％。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同意103,240,036股，占出席会议的中小股东所持股份的96.0698％；反对4,223,511股，占出席会议的中小股东所持股份的3.9302％；弃权0股（其中，因未投票默认弃权0股），占出席会议的中小股东所持股份的0.0000％。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提案4.18 关于滚存未分配利润的安排</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提案4.19 股份限售期</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同意222,154,309股，占出席会议所有股东所持股份的98.1343％；反对4,223,511股，占出席会议所有股东所持股份的1.8657％；弃权0股（其中，因未投票默认弃权0股），占出席会议所有股东所持股份的0.0000％。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同意103,240,036股，占出席会议的中小股东所持股份的96.0698％；反对4,223,511股，占出席会议的中小股东所持股份的3.9302％；弃权0股（其中，因未投票默认弃权0股），占出席会议的中小股东所持股份的0.0000％。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提案4.20 标的资产办理权属转移的合同义务和违约责任</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提案4.21 与标的资产有关的人员安排</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同意222,154,309股，占出席会议所有股东所持股份的98.1343％；反对4,223,511股，占出席会议所有股东所持股份的1.8657％；弃权0股（其中，因未投票默认弃权0股），占出席会议所有股东所持股份的0.0000％。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同意103,240,036股，占出席会议的中小股东所持股份的96.0698％；反对4,223,511股，占出席会议的中小股东所持股份的3.9302％；弃权0股（其中，因未投票默认弃权0股），占出席会议的中小股东所持股份的0.0000％。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提案4.22 决议的有效期</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提案5.00 《关于公司发行股份及支付现金购买资产并募集配套资金暨关联交易不构成重大资产重组及本次交易不构成重组上市的议案》</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提案6.00 《关于本次交易构成关联交易的议案》</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提案7.00 《关于提请股东大会批准中广核核技术应用有限公司及其一致行动人免于发出要约的议案》</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提案8.00 《关于本次交易符合＜上市公司监管指引第9号——上市公司筹划和实施重大资产重组的监管要求＞第四条规定的议案》</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提案9.00 《关于本次交易符合＜上市公司重大资产重组管理办法＞第十一条和第四十三条规定的议案》</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提案10.00 《关于本次交易相关主体不存在依据＜上市公司监管指引第7号—上市公司重大资产重组相关股票异常交易监管＞第十二条不得参与上市公司重大资产重组情形的议案》</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提案11.00 《关于本次交易符合＜上市公司证券发行注册管理办法＞第十一条规定的议案》</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提案12.00 《关于＜中广核核技术发展股份有限公司发行股份及支付现金购买资产并募集配套资金暨关联交易报告书（草案）（修订稿）＞及其摘要的议案》</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提案13.00 《关于与交易对方分别签署附生效条件的＜发行股份及支付现金购买资产协议（修订版）＞的议案》</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提案14.00 《关于与中广核核技术应用有限公司签署附生效条件的＜股份认购协议＞的议案》</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提案15.00 《关于解除公司与中广核久源（成都）科技有限公司＜购买资产协议＞的议案》</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提案16.00 《关于本次交易履行法定程序的完备性、合规性及提交法律文件的有效性的说明的议案》</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提案17.00 《关于批准本次交易有关审计报告、备考审阅报告、评估报告的议案》</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同意222,154,409股，占出席会议所有股东所持股份的98.1344％；反对4,223,411股，占出席会议所有股东所持股份的1.8656％；弃权0股（其中，因未投票默认弃权0股），占出席会议所有股东所持股份的0.0000％。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同意103,240,136股，占出席会议的中小股东所持股份的96.0699％；反对4,223,411股，占出席会议的中小股东所持股份的3.9301％；弃权0股（其中，因未投票默认弃权0股），占出席会议的中小股东所持股份的0.0000％。</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提案18.00 《关于评估机构的独立性、评估假设前提的合理性、评估方法与评估目的的相关性以及评估定价的公允性的议案》</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同意222,154,409股，占出席会议所有股东所持股份的98.1344％；反对4,064,911股，占出席会议所有股东所持股份的1.7956％；弃权158,500股（其中，因未投票默认弃权158,500股），占出席会议所有股东所持股份的0.0700％。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4,064,911股，占出席会议的中小股东所持股份的3.7826％；弃权158,500股（其中，因未投票默认弃权158,500股），占出席会议的中小股东所持股份的0.1475％。</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提案19.00 《关于本次交易定价的依据及公平合理性说明的议案》</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eastAsia="宋体" w:cs="Times New Roman"/>
          <w:lang w:val="en-US" w:eastAsia="zh-CN"/>
        </w:rPr>
      </w:pPr>
      <w:r>
        <w:rPr>
          <w:rFonts w:hint="eastAsia" w:ascii="Times New Roman" w:cs="Times New Roman"/>
        </w:rPr>
        <w:t>同意222,154,409股，占出席会议所有股东所持股份的98.1344％；反对4,064,911股，占出席会议所有股东所持股份的1.7956％；弃权158,500股（其中，因未投票默认弃权158,500股），占出席会议所有股东所持股份的0.0700％。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4,064,911股，占出席会议的中小股东所持股份的3.7826％；弃权158,500股（其中，因未投票默认弃权158,500股），占出席会议的中小股东所持股份的0.1475％。</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提案20.00 《关于本次交易摊薄即期回报的填补措施及承诺事项的议案》</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同意222,154,409股，占出席会议所有股东所持股份的98.1344％；反对4,064,911股，占出席会议所有股东所持股份的1.7956％；弃权158,500股（其中，因未投票默认弃权158,500股），占出席会议所有股东所持股份的0.0700％。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4,064,911股，占出席会议的中小股东所持股份的3.7826％；弃权158,500股（其中，因未投票默认弃权158,500股），占出席会议的中小股东所持股份的0.1475％。</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提案21.00 《关于本次交易前12个月内购买、出售资产情况的说明的议案》</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同意222,154,409股，占出席会议所有股东所持股份的98.1344％；反对4,064,911股，占出席会议所有股东所持股份的1.7956％；弃权158,500股（其中，因未投票默认弃权158,500股），占出席会议所有股东所持股份的0.0700％。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4,064,911股，占出席会议的中小股东所持股份的3.7826％；弃权158,500股（其中，因未投票默认弃权158,500股），占出席会议的中小股东所持股份的0.1475％。</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提案22.00 《关于本次交易采取的保密措施及保密制度的说明的议案》</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同意222,154,409股，占出席会议所有股东所持股份的98.1344％；反对4,064,911股，占出席会议所有股东所持股份的1.7956％；弃权158,500股（其中，因未投票默认弃权158,500股），占出席会议所有股东所持股份的0.0700％。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103,240,136股，占出席会议的中小股东所持股份的96.0699％；反对4,064,911股，占出席会议的中小股东所持股份的3.7826％；弃权158,500股（其中，因未投票默认弃权158,500股），占出席会议的中小股东所持股份的0.1475％。</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提案23.00 《关于本次交易信息发布前公司股票价格波动情况的议案》</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同意222,154,309股，占出席会议所有股东所持股份的98.1343％；反对4,065,011股，占出席会议所有股东所持股份的1.7957％；弃权158,500股（其中，因未投票默认弃权158,500股），占出席会议所有股东所持股份的0.0700％。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103,240,036股，占出席会议的中小股东所持股份的96.0698％；反对4,065,011股，占出席会议的中小股东所持股份的3.7827％；弃权158,500股（其中，因未投票默认弃权158,500股），占出席会议的中小股东所持股份的0.1475％。</w:t>
      </w:r>
    </w:p>
    <w:p>
      <w:pPr>
        <w:pStyle w:val="24"/>
        <w:spacing w:line="440" w:lineRule="exact"/>
        <w:ind w:firstLine="482" w:firstLineChars="200"/>
        <w:jc w:val="both"/>
        <w:rPr>
          <w:rFonts w:hint="eastAsia" w:ascii="Times New Roman" w:cs="Times New Roman"/>
          <w:b/>
          <w:bCs/>
        </w:rPr>
      </w:pPr>
      <w:r>
        <w:rPr>
          <w:rFonts w:hint="eastAsia" w:ascii="Times New Roman" w:cs="Times New Roman"/>
          <w:b/>
          <w:bCs/>
        </w:rPr>
        <w:t>提案24.00 《关于提请股东大会授权董事会全权办理本次交易相关事宜的议案》</w:t>
      </w:r>
    </w:p>
    <w:p>
      <w:pPr>
        <w:pStyle w:val="24"/>
        <w:spacing w:line="440" w:lineRule="exact"/>
        <w:ind w:firstLine="480" w:firstLineChars="200"/>
        <w:jc w:val="both"/>
        <w:rPr>
          <w:rFonts w:hint="eastAsia" w:ascii="Times New Roman" w:cs="Times New Roman"/>
        </w:rPr>
      </w:pPr>
      <w:r>
        <w:rPr>
          <w:rFonts w:hint="eastAsia" w:ascii="Times New Roman" w:cs="Times New Roman"/>
        </w:rPr>
        <w:t>总表决情况：</w:t>
      </w:r>
    </w:p>
    <w:p>
      <w:pPr>
        <w:pStyle w:val="24"/>
        <w:spacing w:line="440" w:lineRule="exact"/>
        <w:ind w:firstLine="480" w:firstLineChars="200"/>
        <w:jc w:val="both"/>
        <w:rPr>
          <w:rFonts w:hint="eastAsia" w:ascii="Times New Roman" w:cs="Times New Roman"/>
        </w:rPr>
      </w:pPr>
      <w:r>
        <w:rPr>
          <w:rFonts w:hint="eastAsia" w:ascii="Times New Roman" w:cs="Times New Roman"/>
        </w:rPr>
        <w:t>同意222,154,409股，占出席会议所有股东所持股份的98.1344％；反对4,064,911股，占出席会议所有股东所持股份的1.7956％；弃权158,500股（其中，因未投票默认弃权158,500股），占出席会议所有股东所持股份的0.0700％。</w:t>
      </w:r>
    </w:p>
    <w:p>
      <w:pPr>
        <w:pStyle w:val="24"/>
        <w:spacing w:line="440" w:lineRule="exact"/>
        <w:ind w:firstLine="480" w:firstLineChars="200"/>
        <w:jc w:val="both"/>
        <w:rPr>
          <w:rFonts w:hint="eastAsia" w:ascii="Times New Roman" w:cs="Times New Roman"/>
        </w:rPr>
      </w:pPr>
      <w:r>
        <w:rPr>
          <w:rFonts w:hint="eastAsia" w:ascii="Times New Roman" w:cs="Times New Roman"/>
        </w:rPr>
        <w:t>中小股东总表决情况：</w:t>
      </w:r>
    </w:p>
    <w:p>
      <w:pPr>
        <w:pStyle w:val="24"/>
        <w:spacing w:line="440" w:lineRule="exact"/>
        <w:ind w:firstLine="480" w:firstLineChars="200"/>
        <w:jc w:val="both"/>
        <w:rPr>
          <w:rFonts w:ascii="Times New Roman" w:cs="Times New Roman"/>
        </w:rPr>
      </w:pPr>
      <w:r>
        <w:rPr>
          <w:rFonts w:hint="eastAsia" w:ascii="Times New Roman" w:cs="Times New Roman"/>
        </w:rPr>
        <w:t>同意103,240,136股，占出席会议的中小股东所持股份的96.0699％；反对4,064,911股，占出席会议的中小股东所持股份的3.7826％；弃权158,500股（其中，因未投票默认弃权158,500股），占出席会议的中小股东所持股份的0.1475％。</w:t>
      </w:r>
    </w:p>
    <w:p>
      <w:pPr>
        <w:snapToGrid w:val="0"/>
        <w:spacing w:line="440" w:lineRule="exact"/>
        <w:ind w:firstLine="482" w:firstLineChars="200"/>
        <w:outlineLvl w:val="0"/>
        <w:rPr>
          <w:b/>
          <w:sz w:val="24"/>
        </w:rPr>
      </w:pPr>
      <w:r>
        <w:rPr>
          <w:b/>
          <w:sz w:val="24"/>
        </w:rPr>
        <w:t>三、律师出具的法律意见</w:t>
      </w:r>
    </w:p>
    <w:p>
      <w:pPr>
        <w:autoSpaceDE w:val="0"/>
        <w:autoSpaceDN w:val="0"/>
        <w:adjustRightInd w:val="0"/>
        <w:spacing w:line="440" w:lineRule="exact"/>
        <w:ind w:firstLine="480" w:firstLineChars="200"/>
        <w:rPr>
          <w:color w:val="000000"/>
          <w:kern w:val="0"/>
          <w:sz w:val="24"/>
        </w:rPr>
      </w:pPr>
      <w:r>
        <w:rPr>
          <w:color w:val="000000"/>
          <w:kern w:val="0"/>
          <w:sz w:val="24"/>
        </w:rPr>
        <w:t>律师事务所名称：</w:t>
      </w:r>
      <w:r>
        <w:rPr>
          <w:rFonts w:hint="eastAsia"/>
          <w:color w:val="000000"/>
          <w:kern w:val="0"/>
          <w:sz w:val="24"/>
        </w:rPr>
        <w:t>北京市君合（深圳）律师事务所</w:t>
      </w:r>
    </w:p>
    <w:p>
      <w:pPr>
        <w:autoSpaceDE w:val="0"/>
        <w:autoSpaceDN w:val="0"/>
        <w:adjustRightInd w:val="0"/>
        <w:spacing w:line="440" w:lineRule="exact"/>
        <w:ind w:firstLine="480" w:firstLineChars="200"/>
        <w:rPr>
          <w:rFonts w:hint="default" w:eastAsia="宋体"/>
          <w:kern w:val="0"/>
          <w:sz w:val="24"/>
          <w:lang w:val="en-US" w:eastAsia="zh-CN"/>
        </w:rPr>
      </w:pPr>
      <w:r>
        <w:rPr>
          <w:kern w:val="0"/>
          <w:sz w:val="24"/>
        </w:rPr>
        <w:t>律师姓名：</w:t>
      </w:r>
      <w:r>
        <w:rPr>
          <w:rFonts w:hint="eastAsia"/>
          <w:kern w:val="0"/>
          <w:sz w:val="24"/>
          <w:lang w:val="en-US" w:eastAsia="zh-CN"/>
        </w:rPr>
        <w:t>夏晓露、冉研</w:t>
      </w:r>
    </w:p>
    <w:p>
      <w:pPr>
        <w:autoSpaceDE w:val="0"/>
        <w:autoSpaceDN w:val="0"/>
        <w:adjustRightInd w:val="0"/>
        <w:spacing w:line="440" w:lineRule="exact"/>
        <w:ind w:firstLine="480" w:firstLineChars="200"/>
        <w:rPr>
          <w:sz w:val="24"/>
        </w:rPr>
      </w:pPr>
      <w:r>
        <w:rPr>
          <w:kern w:val="0"/>
          <w:sz w:val="24"/>
        </w:rPr>
        <w:t>结论意见：</w:t>
      </w:r>
      <w:r>
        <w:rPr>
          <w:rFonts w:hint="eastAsia"/>
          <w:sz w:val="24"/>
        </w:rPr>
        <w:t>本所律师认为，贵公司本次股东大会的召集及召开程序、审议的议案符合《公司法》、《股东大会规则》、《上市公司治理准则》等法律、行政法规、规范性文件及《公司章程》、《股东大会议事规则》的规定；本次股东大会的召集人及出席本次股东大会的股东、股东代理人、其他人员的资格合法有效，本次股东大会的表决程序与表决结果合法有效。</w:t>
      </w:r>
    </w:p>
    <w:p>
      <w:pPr>
        <w:autoSpaceDE w:val="0"/>
        <w:autoSpaceDN w:val="0"/>
        <w:adjustRightInd w:val="0"/>
        <w:spacing w:line="440" w:lineRule="exact"/>
        <w:ind w:firstLine="482" w:firstLineChars="200"/>
        <w:rPr>
          <w:b/>
          <w:sz w:val="24"/>
        </w:rPr>
      </w:pPr>
      <w:r>
        <w:rPr>
          <w:b/>
          <w:sz w:val="24"/>
        </w:rPr>
        <w:t>四、备查文件</w:t>
      </w:r>
    </w:p>
    <w:p>
      <w:pPr>
        <w:autoSpaceDE w:val="0"/>
        <w:autoSpaceDN w:val="0"/>
        <w:adjustRightInd w:val="0"/>
        <w:spacing w:line="440" w:lineRule="exact"/>
        <w:ind w:firstLine="480" w:firstLineChars="200"/>
        <w:rPr>
          <w:kern w:val="0"/>
          <w:sz w:val="24"/>
        </w:rPr>
      </w:pPr>
      <w:r>
        <w:rPr>
          <w:kern w:val="0"/>
          <w:sz w:val="24"/>
        </w:rPr>
        <w:t>1、经与会董事和记录人签字确认并加盖董事会印章的股东大会决议；</w:t>
      </w:r>
    </w:p>
    <w:p>
      <w:pPr>
        <w:spacing w:line="440" w:lineRule="exact"/>
        <w:ind w:firstLine="480" w:firstLineChars="200"/>
        <w:rPr>
          <w:sz w:val="28"/>
          <w:szCs w:val="28"/>
        </w:rPr>
      </w:pPr>
      <w:r>
        <w:rPr>
          <w:kern w:val="0"/>
          <w:sz w:val="24"/>
        </w:rPr>
        <w:t>2、</w:t>
      </w:r>
      <w:r>
        <w:rPr>
          <w:rFonts w:hint="eastAsia"/>
          <w:kern w:val="0"/>
          <w:sz w:val="24"/>
        </w:rPr>
        <w:t>北京市君合（深圳）律师事务所</w:t>
      </w:r>
      <w:r>
        <w:rPr>
          <w:kern w:val="0"/>
          <w:sz w:val="24"/>
        </w:rPr>
        <w:t>出具的法律意见书。</w:t>
      </w:r>
    </w:p>
    <w:p>
      <w:pPr>
        <w:autoSpaceDE w:val="0"/>
        <w:autoSpaceDN w:val="0"/>
        <w:adjustRightInd w:val="0"/>
        <w:spacing w:line="440" w:lineRule="exact"/>
        <w:ind w:firstLine="480" w:firstLineChars="200"/>
        <w:rPr>
          <w:color w:val="000000"/>
          <w:kern w:val="0"/>
          <w:sz w:val="24"/>
        </w:rPr>
      </w:pPr>
      <w:r>
        <w:rPr>
          <w:color w:val="000000"/>
          <w:kern w:val="0"/>
          <w:sz w:val="24"/>
        </w:rPr>
        <w:t>特此公告。</w:t>
      </w:r>
    </w:p>
    <w:p>
      <w:pPr>
        <w:autoSpaceDE w:val="0"/>
        <w:autoSpaceDN w:val="0"/>
        <w:adjustRightInd w:val="0"/>
        <w:spacing w:line="440" w:lineRule="exact"/>
        <w:ind w:firstLine="480" w:firstLineChars="200"/>
        <w:rPr>
          <w:color w:val="000000"/>
          <w:kern w:val="0"/>
          <w:sz w:val="24"/>
        </w:rPr>
      </w:pPr>
    </w:p>
    <w:p>
      <w:pPr>
        <w:autoSpaceDE w:val="0"/>
        <w:autoSpaceDN w:val="0"/>
        <w:adjustRightInd w:val="0"/>
        <w:spacing w:line="440" w:lineRule="exact"/>
        <w:ind w:firstLine="480" w:firstLineChars="200"/>
        <w:rPr>
          <w:color w:val="000000"/>
          <w:kern w:val="0"/>
          <w:sz w:val="24"/>
        </w:rPr>
      </w:pPr>
    </w:p>
    <w:p>
      <w:pPr>
        <w:autoSpaceDE w:val="0"/>
        <w:autoSpaceDN w:val="0"/>
        <w:adjustRightInd w:val="0"/>
        <w:spacing w:line="440" w:lineRule="exact"/>
        <w:ind w:firstLine="480" w:firstLineChars="200"/>
        <w:rPr>
          <w:color w:val="000000"/>
          <w:kern w:val="0"/>
          <w:sz w:val="24"/>
        </w:rPr>
      </w:pPr>
    </w:p>
    <w:p>
      <w:pPr>
        <w:autoSpaceDE w:val="0"/>
        <w:autoSpaceDN w:val="0"/>
        <w:adjustRightInd w:val="0"/>
        <w:spacing w:line="440" w:lineRule="exact"/>
        <w:ind w:firstLine="482" w:firstLineChars="200"/>
        <w:jc w:val="right"/>
        <w:rPr>
          <w:b/>
          <w:color w:val="000000"/>
          <w:kern w:val="0"/>
          <w:sz w:val="24"/>
        </w:rPr>
      </w:pPr>
      <w:r>
        <w:rPr>
          <w:b/>
          <w:color w:val="000000"/>
          <w:kern w:val="0"/>
          <w:sz w:val="24"/>
        </w:rPr>
        <w:t>中广核核技术发展股份有限公司</w:t>
      </w:r>
    </w:p>
    <w:p>
      <w:pPr>
        <w:autoSpaceDE w:val="0"/>
        <w:autoSpaceDN w:val="0"/>
        <w:adjustRightInd w:val="0"/>
        <w:spacing w:line="440" w:lineRule="exact"/>
        <w:ind w:firstLine="482" w:firstLineChars="200"/>
        <w:jc w:val="right"/>
        <w:rPr>
          <w:b/>
          <w:color w:val="000000"/>
          <w:kern w:val="0"/>
          <w:sz w:val="24"/>
        </w:rPr>
      </w:pPr>
      <w:r>
        <w:rPr>
          <w:b/>
          <w:color w:val="000000"/>
          <w:kern w:val="0"/>
          <w:sz w:val="24"/>
        </w:rPr>
        <w:t>董事会</w:t>
      </w:r>
    </w:p>
    <w:p>
      <w:pPr>
        <w:autoSpaceDE w:val="0"/>
        <w:autoSpaceDN w:val="0"/>
        <w:adjustRightInd w:val="0"/>
        <w:spacing w:line="440" w:lineRule="exact"/>
        <w:ind w:firstLine="482" w:firstLineChars="200"/>
        <w:jc w:val="right"/>
        <w:rPr>
          <w:b/>
        </w:rPr>
      </w:pPr>
      <w:bookmarkStart w:id="0" w:name="_GoBack"/>
      <w:bookmarkEnd w:id="0"/>
      <w:r>
        <w:rPr>
          <w:b/>
          <w:color w:val="000000"/>
          <w:kern w:val="0"/>
          <w:sz w:val="24"/>
        </w:rPr>
        <w:t>202</w:t>
      </w:r>
      <w:r>
        <w:rPr>
          <w:rFonts w:hint="eastAsia"/>
          <w:b/>
          <w:color w:val="000000"/>
          <w:kern w:val="0"/>
          <w:sz w:val="24"/>
        </w:rPr>
        <w:t>3</w:t>
      </w:r>
      <w:r>
        <w:rPr>
          <w:b/>
          <w:color w:val="000000"/>
          <w:kern w:val="0"/>
          <w:sz w:val="24"/>
        </w:rPr>
        <w:t>年</w:t>
      </w:r>
      <w:r>
        <w:rPr>
          <w:rFonts w:hint="eastAsia"/>
          <w:b/>
          <w:color w:val="000000"/>
          <w:kern w:val="0"/>
          <w:sz w:val="24"/>
          <w:lang w:val="en-US" w:eastAsia="zh-CN"/>
        </w:rPr>
        <w:t>9</w:t>
      </w:r>
      <w:r>
        <w:rPr>
          <w:b/>
          <w:color w:val="000000"/>
          <w:kern w:val="0"/>
          <w:sz w:val="24"/>
        </w:rPr>
        <w:t>月</w:t>
      </w:r>
      <w:r>
        <w:rPr>
          <w:rFonts w:hint="eastAsia"/>
          <w:b/>
          <w:color w:val="000000"/>
          <w:kern w:val="0"/>
          <w:sz w:val="24"/>
          <w:lang w:val="en-US" w:eastAsia="zh-CN"/>
        </w:rPr>
        <w:t>2</w:t>
      </w:r>
      <w:r>
        <w:rPr>
          <w:rFonts w:hint="eastAsia"/>
          <w:b/>
          <w:color w:val="000000"/>
          <w:kern w:val="0"/>
          <w:sz w:val="24"/>
          <w:lang w:val="en-US" w:eastAsia="zh-CN"/>
        </w:rPr>
        <w:t>1</w:t>
      </w:r>
      <w:r>
        <w:rPr>
          <w:b/>
          <w:color w:val="000000"/>
          <w:kern w:val="0"/>
          <w:sz w:val="24"/>
        </w:rPr>
        <w:t>日</w:t>
      </w:r>
    </w:p>
    <w:sectPr>
      <w:footerReference r:id="rId3" w:type="even"/>
      <w:pgSz w:w="11906" w:h="16838"/>
      <w:pgMar w:top="1418" w:right="1701" w:bottom="1418"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1" w:usb1="080E0000" w:usb2="00000010" w:usb3="00000000" w:csb0="00040000" w:csb1="00000000"/>
  </w:font>
  <w:font w:name="..ì.">
    <w:altName w:val="宋体"/>
    <w:panose1 w:val="00000000000000000000"/>
    <w:charset w:val="86"/>
    <w:family w:val="roma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3"/>
      </w:rPr>
    </w:pPr>
    <w:r>
      <w:rPr>
        <w:rStyle w:val="13"/>
      </w:rPr>
      <w:fldChar w:fldCharType="begin"/>
    </w:r>
    <w:r>
      <w:rPr>
        <w:rStyle w:val="13"/>
      </w:rPr>
      <w:instrText xml:space="preserve">PAGE  </w:instrText>
    </w:r>
    <w:r>
      <w:rPr>
        <w:rStyle w:val="13"/>
      </w:rPr>
      <w:fldChar w:fldCharType="end"/>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3B143C"/>
    <w:multiLevelType w:val="multilevel"/>
    <w:tmpl w:val="583B143C"/>
    <w:lvl w:ilvl="0" w:tentative="0">
      <w:start w:val="1"/>
      <w:numFmt w:val="decimal"/>
      <w:pStyle w:val="22"/>
      <w:lvlText w:val="%1."/>
      <w:lvlJc w:val="left"/>
      <w:pPr>
        <w:tabs>
          <w:tab w:val="left" w:pos="1420"/>
        </w:tabs>
        <w:ind w:left="567" w:firstLine="433"/>
      </w:pPr>
      <w:rPr>
        <w:rFonts w:hint="eastAsia"/>
      </w:rPr>
    </w:lvl>
    <w:lvl w:ilvl="1" w:tentative="0">
      <w:start w:val="1"/>
      <w:numFmt w:val="decimal"/>
      <w:lvlText w:val="%2."/>
      <w:lvlJc w:val="left"/>
      <w:pPr>
        <w:tabs>
          <w:tab w:val="left" w:pos="840"/>
        </w:tabs>
        <w:ind w:left="-13" w:firstLine="433"/>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0523"/>
    <w:rsid w:val="00003452"/>
    <w:rsid w:val="00004D9F"/>
    <w:rsid w:val="000056FB"/>
    <w:rsid w:val="000058D0"/>
    <w:rsid w:val="00007506"/>
    <w:rsid w:val="0001261C"/>
    <w:rsid w:val="0001361A"/>
    <w:rsid w:val="00014F6C"/>
    <w:rsid w:val="0001628C"/>
    <w:rsid w:val="00016771"/>
    <w:rsid w:val="00016C82"/>
    <w:rsid w:val="00016E2F"/>
    <w:rsid w:val="00020949"/>
    <w:rsid w:val="00022E72"/>
    <w:rsid w:val="00024944"/>
    <w:rsid w:val="00024BBD"/>
    <w:rsid w:val="00031102"/>
    <w:rsid w:val="00037365"/>
    <w:rsid w:val="000404B7"/>
    <w:rsid w:val="00042F9D"/>
    <w:rsid w:val="00047D81"/>
    <w:rsid w:val="00053EF4"/>
    <w:rsid w:val="00055527"/>
    <w:rsid w:val="00060B23"/>
    <w:rsid w:val="00062854"/>
    <w:rsid w:val="00064239"/>
    <w:rsid w:val="000679A7"/>
    <w:rsid w:val="00072415"/>
    <w:rsid w:val="00072900"/>
    <w:rsid w:val="00075642"/>
    <w:rsid w:val="000757D1"/>
    <w:rsid w:val="00075E47"/>
    <w:rsid w:val="00077314"/>
    <w:rsid w:val="0008067D"/>
    <w:rsid w:val="00083C23"/>
    <w:rsid w:val="00083C79"/>
    <w:rsid w:val="0008760B"/>
    <w:rsid w:val="000921B9"/>
    <w:rsid w:val="000922D3"/>
    <w:rsid w:val="000951C9"/>
    <w:rsid w:val="00095BE6"/>
    <w:rsid w:val="0009640A"/>
    <w:rsid w:val="00096E48"/>
    <w:rsid w:val="000A042C"/>
    <w:rsid w:val="000B2076"/>
    <w:rsid w:val="000B7CBC"/>
    <w:rsid w:val="000C0D41"/>
    <w:rsid w:val="000C3737"/>
    <w:rsid w:val="000C5467"/>
    <w:rsid w:val="000C7F46"/>
    <w:rsid w:val="000D402B"/>
    <w:rsid w:val="000D47C9"/>
    <w:rsid w:val="000D59C0"/>
    <w:rsid w:val="000D6A0B"/>
    <w:rsid w:val="000D7493"/>
    <w:rsid w:val="000D764B"/>
    <w:rsid w:val="000D7D2D"/>
    <w:rsid w:val="000E1C6A"/>
    <w:rsid w:val="000E5F30"/>
    <w:rsid w:val="000E656F"/>
    <w:rsid w:val="000E784B"/>
    <w:rsid w:val="000F2233"/>
    <w:rsid w:val="000F2C5D"/>
    <w:rsid w:val="000F4346"/>
    <w:rsid w:val="00100313"/>
    <w:rsid w:val="0010205E"/>
    <w:rsid w:val="00104DB0"/>
    <w:rsid w:val="001053E0"/>
    <w:rsid w:val="001201B5"/>
    <w:rsid w:val="001223DA"/>
    <w:rsid w:val="0012318E"/>
    <w:rsid w:val="00124ABD"/>
    <w:rsid w:val="001251B6"/>
    <w:rsid w:val="001253F7"/>
    <w:rsid w:val="00133C0D"/>
    <w:rsid w:val="001344D3"/>
    <w:rsid w:val="0013515D"/>
    <w:rsid w:val="00140596"/>
    <w:rsid w:val="001415A5"/>
    <w:rsid w:val="00143C43"/>
    <w:rsid w:val="00146AAE"/>
    <w:rsid w:val="0014756C"/>
    <w:rsid w:val="001513E4"/>
    <w:rsid w:val="001537A8"/>
    <w:rsid w:val="00153909"/>
    <w:rsid w:val="00161343"/>
    <w:rsid w:val="001622DE"/>
    <w:rsid w:val="001630DD"/>
    <w:rsid w:val="00164462"/>
    <w:rsid w:val="00175B9B"/>
    <w:rsid w:val="00180DCB"/>
    <w:rsid w:val="001928C4"/>
    <w:rsid w:val="00195A8C"/>
    <w:rsid w:val="00196D01"/>
    <w:rsid w:val="001972AE"/>
    <w:rsid w:val="001A229F"/>
    <w:rsid w:val="001A2B90"/>
    <w:rsid w:val="001A4150"/>
    <w:rsid w:val="001A78B5"/>
    <w:rsid w:val="001B0A9F"/>
    <w:rsid w:val="001B0CB2"/>
    <w:rsid w:val="001B274D"/>
    <w:rsid w:val="001B4349"/>
    <w:rsid w:val="001B5794"/>
    <w:rsid w:val="001C0E91"/>
    <w:rsid w:val="001C201B"/>
    <w:rsid w:val="001C20DB"/>
    <w:rsid w:val="001C34E4"/>
    <w:rsid w:val="001C5AC9"/>
    <w:rsid w:val="001C7523"/>
    <w:rsid w:val="001D0676"/>
    <w:rsid w:val="001D10E6"/>
    <w:rsid w:val="001D1A95"/>
    <w:rsid w:val="001D7942"/>
    <w:rsid w:val="001E41FF"/>
    <w:rsid w:val="001E5566"/>
    <w:rsid w:val="001E5BF9"/>
    <w:rsid w:val="001E7D68"/>
    <w:rsid w:val="001F05C8"/>
    <w:rsid w:val="001F4CD4"/>
    <w:rsid w:val="001F71ED"/>
    <w:rsid w:val="001F76EF"/>
    <w:rsid w:val="00200232"/>
    <w:rsid w:val="0020258E"/>
    <w:rsid w:val="00213F57"/>
    <w:rsid w:val="00215AC6"/>
    <w:rsid w:val="00222207"/>
    <w:rsid w:val="00222352"/>
    <w:rsid w:val="002269D0"/>
    <w:rsid w:val="00232484"/>
    <w:rsid w:val="00233CB0"/>
    <w:rsid w:val="0024299B"/>
    <w:rsid w:val="0024325D"/>
    <w:rsid w:val="00250C9B"/>
    <w:rsid w:val="00260B59"/>
    <w:rsid w:val="00260CAE"/>
    <w:rsid w:val="0026207A"/>
    <w:rsid w:val="00262C98"/>
    <w:rsid w:val="00262D79"/>
    <w:rsid w:val="0026322F"/>
    <w:rsid w:val="00263271"/>
    <w:rsid w:val="00266AB7"/>
    <w:rsid w:val="00270B19"/>
    <w:rsid w:val="002710E7"/>
    <w:rsid w:val="00272734"/>
    <w:rsid w:val="002745FD"/>
    <w:rsid w:val="00275020"/>
    <w:rsid w:val="00282C55"/>
    <w:rsid w:val="00283B7E"/>
    <w:rsid w:val="00293FE2"/>
    <w:rsid w:val="00294E5A"/>
    <w:rsid w:val="00295A8F"/>
    <w:rsid w:val="002969A3"/>
    <w:rsid w:val="002A137C"/>
    <w:rsid w:val="002A2B2C"/>
    <w:rsid w:val="002A406D"/>
    <w:rsid w:val="002B4125"/>
    <w:rsid w:val="002B7D70"/>
    <w:rsid w:val="002C0D79"/>
    <w:rsid w:val="002C225E"/>
    <w:rsid w:val="002C5FDA"/>
    <w:rsid w:val="002C68DA"/>
    <w:rsid w:val="002D13E6"/>
    <w:rsid w:val="002D43F0"/>
    <w:rsid w:val="002D4CA6"/>
    <w:rsid w:val="002D6C6A"/>
    <w:rsid w:val="002D74FD"/>
    <w:rsid w:val="002E0BD3"/>
    <w:rsid w:val="002E6CF4"/>
    <w:rsid w:val="002E7F53"/>
    <w:rsid w:val="002F1F61"/>
    <w:rsid w:val="002F504C"/>
    <w:rsid w:val="002F63B8"/>
    <w:rsid w:val="002F73B0"/>
    <w:rsid w:val="00301EB8"/>
    <w:rsid w:val="00302637"/>
    <w:rsid w:val="00304F07"/>
    <w:rsid w:val="003056FA"/>
    <w:rsid w:val="00305ABE"/>
    <w:rsid w:val="00307B72"/>
    <w:rsid w:val="003102C4"/>
    <w:rsid w:val="00311306"/>
    <w:rsid w:val="0031657C"/>
    <w:rsid w:val="00317E15"/>
    <w:rsid w:val="00325C2E"/>
    <w:rsid w:val="00330161"/>
    <w:rsid w:val="00333322"/>
    <w:rsid w:val="0033343F"/>
    <w:rsid w:val="0033364F"/>
    <w:rsid w:val="00335500"/>
    <w:rsid w:val="00335938"/>
    <w:rsid w:val="00335B3F"/>
    <w:rsid w:val="00346744"/>
    <w:rsid w:val="0034682F"/>
    <w:rsid w:val="00347191"/>
    <w:rsid w:val="0035311C"/>
    <w:rsid w:val="00360761"/>
    <w:rsid w:val="00365838"/>
    <w:rsid w:val="00365D5A"/>
    <w:rsid w:val="00365F3B"/>
    <w:rsid w:val="0036600F"/>
    <w:rsid w:val="0037024D"/>
    <w:rsid w:val="00374538"/>
    <w:rsid w:val="00375069"/>
    <w:rsid w:val="003759DE"/>
    <w:rsid w:val="003766B8"/>
    <w:rsid w:val="0037692C"/>
    <w:rsid w:val="00376F47"/>
    <w:rsid w:val="00377A6C"/>
    <w:rsid w:val="0038297E"/>
    <w:rsid w:val="00382E24"/>
    <w:rsid w:val="00382FE2"/>
    <w:rsid w:val="00390632"/>
    <w:rsid w:val="00391EC0"/>
    <w:rsid w:val="003927A8"/>
    <w:rsid w:val="00397C3E"/>
    <w:rsid w:val="003A4E04"/>
    <w:rsid w:val="003B35FA"/>
    <w:rsid w:val="003B4DC7"/>
    <w:rsid w:val="003B5937"/>
    <w:rsid w:val="003B78C3"/>
    <w:rsid w:val="003B7CE7"/>
    <w:rsid w:val="003C1047"/>
    <w:rsid w:val="003C2291"/>
    <w:rsid w:val="003C2DC2"/>
    <w:rsid w:val="003C4CE9"/>
    <w:rsid w:val="003C7DED"/>
    <w:rsid w:val="003D051A"/>
    <w:rsid w:val="003D2CDE"/>
    <w:rsid w:val="003D34D3"/>
    <w:rsid w:val="003D3EBF"/>
    <w:rsid w:val="003D54F1"/>
    <w:rsid w:val="003D7E3A"/>
    <w:rsid w:val="003E109D"/>
    <w:rsid w:val="003E11C0"/>
    <w:rsid w:val="003E370A"/>
    <w:rsid w:val="003E569D"/>
    <w:rsid w:val="003E5974"/>
    <w:rsid w:val="003E749F"/>
    <w:rsid w:val="003F4CF1"/>
    <w:rsid w:val="003F60F3"/>
    <w:rsid w:val="003F66E7"/>
    <w:rsid w:val="00400AF2"/>
    <w:rsid w:val="00402713"/>
    <w:rsid w:val="00404756"/>
    <w:rsid w:val="0040500F"/>
    <w:rsid w:val="00407E46"/>
    <w:rsid w:val="00410F67"/>
    <w:rsid w:val="0041163C"/>
    <w:rsid w:val="004147B4"/>
    <w:rsid w:val="00417218"/>
    <w:rsid w:val="00420D7B"/>
    <w:rsid w:val="004213E2"/>
    <w:rsid w:val="004227F2"/>
    <w:rsid w:val="00423C87"/>
    <w:rsid w:val="0042544B"/>
    <w:rsid w:val="0043024B"/>
    <w:rsid w:val="00432164"/>
    <w:rsid w:val="00432BDE"/>
    <w:rsid w:val="00433E90"/>
    <w:rsid w:val="00441AEA"/>
    <w:rsid w:val="0044468F"/>
    <w:rsid w:val="00446ABE"/>
    <w:rsid w:val="00447FD1"/>
    <w:rsid w:val="00450DDB"/>
    <w:rsid w:val="00453DA1"/>
    <w:rsid w:val="00455568"/>
    <w:rsid w:val="004555A4"/>
    <w:rsid w:val="00457962"/>
    <w:rsid w:val="00461C1F"/>
    <w:rsid w:val="004620F4"/>
    <w:rsid w:val="004646A9"/>
    <w:rsid w:val="004659CD"/>
    <w:rsid w:val="00474EA3"/>
    <w:rsid w:val="00480C68"/>
    <w:rsid w:val="00480ED4"/>
    <w:rsid w:val="00481BD1"/>
    <w:rsid w:val="00481DED"/>
    <w:rsid w:val="00484485"/>
    <w:rsid w:val="00484619"/>
    <w:rsid w:val="0048535A"/>
    <w:rsid w:val="00487A32"/>
    <w:rsid w:val="00495EE8"/>
    <w:rsid w:val="004A00AF"/>
    <w:rsid w:val="004A06CD"/>
    <w:rsid w:val="004A0B3C"/>
    <w:rsid w:val="004A16F9"/>
    <w:rsid w:val="004A3A6D"/>
    <w:rsid w:val="004A74C5"/>
    <w:rsid w:val="004B059D"/>
    <w:rsid w:val="004B0FF8"/>
    <w:rsid w:val="004C0499"/>
    <w:rsid w:val="004C11BF"/>
    <w:rsid w:val="004C3148"/>
    <w:rsid w:val="004C6AE0"/>
    <w:rsid w:val="004C788B"/>
    <w:rsid w:val="004C79AC"/>
    <w:rsid w:val="004D6FE1"/>
    <w:rsid w:val="004D7D8E"/>
    <w:rsid w:val="004E0367"/>
    <w:rsid w:val="004E390E"/>
    <w:rsid w:val="004E4F96"/>
    <w:rsid w:val="004E6F42"/>
    <w:rsid w:val="004F1A97"/>
    <w:rsid w:val="004F467A"/>
    <w:rsid w:val="004F7814"/>
    <w:rsid w:val="00502661"/>
    <w:rsid w:val="00505366"/>
    <w:rsid w:val="0050547C"/>
    <w:rsid w:val="005133B4"/>
    <w:rsid w:val="00513851"/>
    <w:rsid w:val="00517B7F"/>
    <w:rsid w:val="00521AB0"/>
    <w:rsid w:val="00522C04"/>
    <w:rsid w:val="0052420A"/>
    <w:rsid w:val="005259AE"/>
    <w:rsid w:val="0053175C"/>
    <w:rsid w:val="0053449F"/>
    <w:rsid w:val="00534C0F"/>
    <w:rsid w:val="00535EB0"/>
    <w:rsid w:val="00536C15"/>
    <w:rsid w:val="00544F02"/>
    <w:rsid w:val="0054509B"/>
    <w:rsid w:val="00546564"/>
    <w:rsid w:val="00552369"/>
    <w:rsid w:val="00553D6F"/>
    <w:rsid w:val="005554B1"/>
    <w:rsid w:val="00557DD4"/>
    <w:rsid w:val="00561612"/>
    <w:rsid w:val="00561B37"/>
    <w:rsid w:val="00561C78"/>
    <w:rsid w:val="00561E32"/>
    <w:rsid w:val="00564E98"/>
    <w:rsid w:val="00565AD2"/>
    <w:rsid w:val="00565D80"/>
    <w:rsid w:val="00565FBA"/>
    <w:rsid w:val="00573900"/>
    <w:rsid w:val="005757CC"/>
    <w:rsid w:val="00575C8D"/>
    <w:rsid w:val="00581014"/>
    <w:rsid w:val="00581DF8"/>
    <w:rsid w:val="00583E8C"/>
    <w:rsid w:val="00584CFD"/>
    <w:rsid w:val="00585578"/>
    <w:rsid w:val="0058635B"/>
    <w:rsid w:val="0059567F"/>
    <w:rsid w:val="005A24B9"/>
    <w:rsid w:val="005A3813"/>
    <w:rsid w:val="005A4866"/>
    <w:rsid w:val="005A4E79"/>
    <w:rsid w:val="005A66A4"/>
    <w:rsid w:val="005B3B6B"/>
    <w:rsid w:val="005B422C"/>
    <w:rsid w:val="005B4A14"/>
    <w:rsid w:val="005B4A1C"/>
    <w:rsid w:val="005B5575"/>
    <w:rsid w:val="005B72F1"/>
    <w:rsid w:val="005C0B8B"/>
    <w:rsid w:val="005C39B9"/>
    <w:rsid w:val="005C3A5F"/>
    <w:rsid w:val="005C49DA"/>
    <w:rsid w:val="005D0523"/>
    <w:rsid w:val="005D190D"/>
    <w:rsid w:val="005D2930"/>
    <w:rsid w:val="005D4F04"/>
    <w:rsid w:val="005D58DE"/>
    <w:rsid w:val="005D6456"/>
    <w:rsid w:val="005D6CFA"/>
    <w:rsid w:val="005D7C86"/>
    <w:rsid w:val="005E0B08"/>
    <w:rsid w:val="005E40C7"/>
    <w:rsid w:val="005E6584"/>
    <w:rsid w:val="005E78C5"/>
    <w:rsid w:val="005E7967"/>
    <w:rsid w:val="005F09A6"/>
    <w:rsid w:val="005F6A70"/>
    <w:rsid w:val="005F6F19"/>
    <w:rsid w:val="00600FE0"/>
    <w:rsid w:val="00601578"/>
    <w:rsid w:val="0060177F"/>
    <w:rsid w:val="006055E6"/>
    <w:rsid w:val="006219F2"/>
    <w:rsid w:val="0063607A"/>
    <w:rsid w:val="0063674E"/>
    <w:rsid w:val="00636BD1"/>
    <w:rsid w:val="00641E37"/>
    <w:rsid w:val="0064217E"/>
    <w:rsid w:val="00643361"/>
    <w:rsid w:val="00645CBE"/>
    <w:rsid w:val="006472C1"/>
    <w:rsid w:val="0064756B"/>
    <w:rsid w:val="00651CA6"/>
    <w:rsid w:val="00656CC4"/>
    <w:rsid w:val="00657408"/>
    <w:rsid w:val="00657D64"/>
    <w:rsid w:val="006607BF"/>
    <w:rsid w:val="00664AE1"/>
    <w:rsid w:val="00666594"/>
    <w:rsid w:val="00666AEB"/>
    <w:rsid w:val="0066726F"/>
    <w:rsid w:val="00670067"/>
    <w:rsid w:val="0067090B"/>
    <w:rsid w:val="00675846"/>
    <w:rsid w:val="00680AAD"/>
    <w:rsid w:val="006832E2"/>
    <w:rsid w:val="00694D45"/>
    <w:rsid w:val="00696169"/>
    <w:rsid w:val="00697BED"/>
    <w:rsid w:val="006A0B52"/>
    <w:rsid w:val="006A3A31"/>
    <w:rsid w:val="006A48F4"/>
    <w:rsid w:val="006B1BFF"/>
    <w:rsid w:val="006B1EE2"/>
    <w:rsid w:val="006B2889"/>
    <w:rsid w:val="006C2BEE"/>
    <w:rsid w:val="006C2C9F"/>
    <w:rsid w:val="006C332B"/>
    <w:rsid w:val="006D0CD0"/>
    <w:rsid w:val="006D2CD4"/>
    <w:rsid w:val="006D5089"/>
    <w:rsid w:val="006D54FC"/>
    <w:rsid w:val="006D60D4"/>
    <w:rsid w:val="006D6A2A"/>
    <w:rsid w:val="006E1F60"/>
    <w:rsid w:val="006E52B7"/>
    <w:rsid w:val="006E577F"/>
    <w:rsid w:val="006F008D"/>
    <w:rsid w:val="006F11E2"/>
    <w:rsid w:val="006F68A7"/>
    <w:rsid w:val="006F71BC"/>
    <w:rsid w:val="00701F4A"/>
    <w:rsid w:val="0070313A"/>
    <w:rsid w:val="0070717D"/>
    <w:rsid w:val="00710677"/>
    <w:rsid w:val="00711D16"/>
    <w:rsid w:val="00712252"/>
    <w:rsid w:val="00714CB5"/>
    <w:rsid w:val="00715B2C"/>
    <w:rsid w:val="007175F3"/>
    <w:rsid w:val="007203B4"/>
    <w:rsid w:val="00720D0D"/>
    <w:rsid w:val="0072166A"/>
    <w:rsid w:val="00725CCD"/>
    <w:rsid w:val="00725FFB"/>
    <w:rsid w:val="00727E2A"/>
    <w:rsid w:val="00727FC0"/>
    <w:rsid w:val="00730C10"/>
    <w:rsid w:val="00733AA2"/>
    <w:rsid w:val="007340F2"/>
    <w:rsid w:val="00734FC1"/>
    <w:rsid w:val="00735058"/>
    <w:rsid w:val="007403CB"/>
    <w:rsid w:val="00742D87"/>
    <w:rsid w:val="00742EE6"/>
    <w:rsid w:val="00743F25"/>
    <w:rsid w:val="00744416"/>
    <w:rsid w:val="00745055"/>
    <w:rsid w:val="0074632A"/>
    <w:rsid w:val="007535B0"/>
    <w:rsid w:val="007548DD"/>
    <w:rsid w:val="007643A6"/>
    <w:rsid w:val="00765617"/>
    <w:rsid w:val="00766F27"/>
    <w:rsid w:val="00767F68"/>
    <w:rsid w:val="00770A85"/>
    <w:rsid w:val="00770B3B"/>
    <w:rsid w:val="007711D3"/>
    <w:rsid w:val="0077204B"/>
    <w:rsid w:val="007737A9"/>
    <w:rsid w:val="00773F9C"/>
    <w:rsid w:val="0077658F"/>
    <w:rsid w:val="00776E2D"/>
    <w:rsid w:val="007771A2"/>
    <w:rsid w:val="00780C74"/>
    <w:rsid w:val="0078232F"/>
    <w:rsid w:val="00782777"/>
    <w:rsid w:val="00787C07"/>
    <w:rsid w:val="00791850"/>
    <w:rsid w:val="007953C4"/>
    <w:rsid w:val="0079692F"/>
    <w:rsid w:val="00797A92"/>
    <w:rsid w:val="007A11BE"/>
    <w:rsid w:val="007A21CF"/>
    <w:rsid w:val="007A31C2"/>
    <w:rsid w:val="007A3D5B"/>
    <w:rsid w:val="007A4234"/>
    <w:rsid w:val="007A6B69"/>
    <w:rsid w:val="007B6E8E"/>
    <w:rsid w:val="007C1EF2"/>
    <w:rsid w:val="007C5171"/>
    <w:rsid w:val="007C520B"/>
    <w:rsid w:val="007C58A2"/>
    <w:rsid w:val="007C5D45"/>
    <w:rsid w:val="007D16A0"/>
    <w:rsid w:val="007D2D9F"/>
    <w:rsid w:val="007D36E3"/>
    <w:rsid w:val="007D4D6B"/>
    <w:rsid w:val="007D5777"/>
    <w:rsid w:val="007D7E1C"/>
    <w:rsid w:val="007E603A"/>
    <w:rsid w:val="007E6C0E"/>
    <w:rsid w:val="007E6D0B"/>
    <w:rsid w:val="007E74C7"/>
    <w:rsid w:val="007F25DE"/>
    <w:rsid w:val="007F286C"/>
    <w:rsid w:val="007F54CA"/>
    <w:rsid w:val="007F6B38"/>
    <w:rsid w:val="0080082B"/>
    <w:rsid w:val="008013BA"/>
    <w:rsid w:val="00804598"/>
    <w:rsid w:val="0080693B"/>
    <w:rsid w:val="008102B4"/>
    <w:rsid w:val="00816D3D"/>
    <w:rsid w:val="00816F5A"/>
    <w:rsid w:val="00821C71"/>
    <w:rsid w:val="00823243"/>
    <w:rsid w:val="0082453F"/>
    <w:rsid w:val="00824628"/>
    <w:rsid w:val="008253B9"/>
    <w:rsid w:val="00830CA9"/>
    <w:rsid w:val="00830D55"/>
    <w:rsid w:val="00830E4C"/>
    <w:rsid w:val="0083203A"/>
    <w:rsid w:val="008324CF"/>
    <w:rsid w:val="00833071"/>
    <w:rsid w:val="008369DF"/>
    <w:rsid w:val="008376C1"/>
    <w:rsid w:val="00842674"/>
    <w:rsid w:val="008451B2"/>
    <w:rsid w:val="00846BF5"/>
    <w:rsid w:val="00853AAB"/>
    <w:rsid w:val="0085537F"/>
    <w:rsid w:val="0085546B"/>
    <w:rsid w:val="00855643"/>
    <w:rsid w:val="0085672D"/>
    <w:rsid w:val="00856F42"/>
    <w:rsid w:val="0086084D"/>
    <w:rsid w:val="00860B22"/>
    <w:rsid w:val="00873C1B"/>
    <w:rsid w:val="008748B3"/>
    <w:rsid w:val="00875475"/>
    <w:rsid w:val="00882489"/>
    <w:rsid w:val="008835F8"/>
    <w:rsid w:val="00892142"/>
    <w:rsid w:val="00892340"/>
    <w:rsid w:val="00892F3A"/>
    <w:rsid w:val="00893211"/>
    <w:rsid w:val="00894DEF"/>
    <w:rsid w:val="0089770A"/>
    <w:rsid w:val="008A15BB"/>
    <w:rsid w:val="008A2382"/>
    <w:rsid w:val="008A4E97"/>
    <w:rsid w:val="008B13BD"/>
    <w:rsid w:val="008B5ADE"/>
    <w:rsid w:val="008C0567"/>
    <w:rsid w:val="008C0709"/>
    <w:rsid w:val="008D067C"/>
    <w:rsid w:val="008D18F7"/>
    <w:rsid w:val="008E05B1"/>
    <w:rsid w:val="008E13E0"/>
    <w:rsid w:val="008E185F"/>
    <w:rsid w:val="008E228A"/>
    <w:rsid w:val="008E6B8D"/>
    <w:rsid w:val="008F2E30"/>
    <w:rsid w:val="008F6C7D"/>
    <w:rsid w:val="008F76DF"/>
    <w:rsid w:val="0090116F"/>
    <w:rsid w:val="00904E48"/>
    <w:rsid w:val="009069B6"/>
    <w:rsid w:val="00907045"/>
    <w:rsid w:val="00910A55"/>
    <w:rsid w:val="00910A8B"/>
    <w:rsid w:val="00912797"/>
    <w:rsid w:val="009136A1"/>
    <w:rsid w:val="00913E32"/>
    <w:rsid w:val="00920AA6"/>
    <w:rsid w:val="00921589"/>
    <w:rsid w:val="00923A78"/>
    <w:rsid w:val="0092547B"/>
    <w:rsid w:val="00925815"/>
    <w:rsid w:val="009279D0"/>
    <w:rsid w:val="00931B41"/>
    <w:rsid w:val="00933D0E"/>
    <w:rsid w:val="0093432A"/>
    <w:rsid w:val="00934CE8"/>
    <w:rsid w:val="00940F8F"/>
    <w:rsid w:val="0094249D"/>
    <w:rsid w:val="00942C55"/>
    <w:rsid w:val="00947F48"/>
    <w:rsid w:val="0095224A"/>
    <w:rsid w:val="00952E07"/>
    <w:rsid w:val="00957739"/>
    <w:rsid w:val="00964298"/>
    <w:rsid w:val="00964C94"/>
    <w:rsid w:val="0096637A"/>
    <w:rsid w:val="00966412"/>
    <w:rsid w:val="00967FCB"/>
    <w:rsid w:val="0097112A"/>
    <w:rsid w:val="00973719"/>
    <w:rsid w:val="00973C76"/>
    <w:rsid w:val="00974357"/>
    <w:rsid w:val="00974F3E"/>
    <w:rsid w:val="009753A5"/>
    <w:rsid w:val="00977450"/>
    <w:rsid w:val="00981AC0"/>
    <w:rsid w:val="00983649"/>
    <w:rsid w:val="00995B52"/>
    <w:rsid w:val="00997A6E"/>
    <w:rsid w:val="00997C66"/>
    <w:rsid w:val="00997DD6"/>
    <w:rsid w:val="00997EE7"/>
    <w:rsid w:val="009A0B0F"/>
    <w:rsid w:val="009A2C2C"/>
    <w:rsid w:val="009A47DB"/>
    <w:rsid w:val="009A6E61"/>
    <w:rsid w:val="009A78AA"/>
    <w:rsid w:val="009B1135"/>
    <w:rsid w:val="009B1909"/>
    <w:rsid w:val="009B29E4"/>
    <w:rsid w:val="009B35B0"/>
    <w:rsid w:val="009B4B96"/>
    <w:rsid w:val="009B6686"/>
    <w:rsid w:val="009C396F"/>
    <w:rsid w:val="009D0A1D"/>
    <w:rsid w:val="009E2028"/>
    <w:rsid w:val="009E4493"/>
    <w:rsid w:val="009F1CEE"/>
    <w:rsid w:val="009F72C8"/>
    <w:rsid w:val="00A01058"/>
    <w:rsid w:val="00A05730"/>
    <w:rsid w:val="00A05BA5"/>
    <w:rsid w:val="00A11071"/>
    <w:rsid w:val="00A146F8"/>
    <w:rsid w:val="00A14DBD"/>
    <w:rsid w:val="00A2120D"/>
    <w:rsid w:val="00A21337"/>
    <w:rsid w:val="00A32450"/>
    <w:rsid w:val="00A32741"/>
    <w:rsid w:val="00A336BB"/>
    <w:rsid w:val="00A36504"/>
    <w:rsid w:val="00A36ECF"/>
    <w:rsid w:val="00A37AE4"/>
    <w:rsid w:val="00A42E6C"/>
    <w:rsid w:val="00A44C55"/>
    <w:rsid w:val="00A460B1"/>
    <w:rsid w:val="00A46519"/>
    <w:rsid w:val="00A516A6"/>
    <w:rsid w:val="00A52BD9"/>
    <w:rsid w:val="00A53768"/>
    <w:rsid w:val="00A55E29"/>
    <w:rsid w:val="00A55FF7"/>
    <w:rsid w:val="00A61B9D"/>
    <w:rsid w:val="00A62086"/>
    <w:rsid w:val="00A62F9C"/>
    <w:rsid w:val="00A66BF7"/>
    <w:rsid w:val="00A66D10"/>
    <w:rsid w:val="00A71B08"/>
    <w:rsid w:val="00A730D6"/>
    <w:rsid w:val="00A7420A"/>
    <w:rsid w:val="00A74683"/>
    <w:rsid w:val="00A76C30"/>
    <w:rsid w:val="00A81315"/>
    <w:rsid w:val="00A8747F"/>
    <w:rsid w:val="00A90F8E"/>
    <w:rsid w:val="00A9134C"/>
    <w:rsid w:val="00A934CB"/>
    <w:rsid w:val="00A94A2E"/>
    <w:rsid w:val="00A95188"/>
    <w:rsid w:val="00A96C17"/>
    <w:rsid w:val="00A97EE0"/>
    <w:rsid w:val="00AA4880"/>
    <w:rsid w:val="00AA5DDF"/>
    <w:rsid w:val="00AA7184"/>
    <w:rsid w:val="00AB129B"/>
    <w:rsid w:val="00AB2346"/>
    <w:rsid w:val="00AB302F"/>
    <w:rsid w:val="00AB5247"/>
    <w:rsid w:val="00AB58AE"/>
    <w:rsid w:val="00AB5C59"/>
    <w:rsid w:val="00AB5D3F"/>
    <w:rsid w:val="00AB7572"/>
    <w:rsid w:val="00AB79AD"/>
    <w:rsid w:val="00AC07AA"/>
    <w:rsid w:val="00AC5C21"/>
    <w:rsid w:val="00AC6A78"/>
    <w:rsid w:val="00AD2F32"/>
    <w:rsid w:val="00AD3AA9"/>
    <w:rsid w:val="00AD3EB7"/>
    <w:rsid w:val="00AD670C"/>
    <w:rsid w:val="00AE3D93"/>
    <w:rsid w:val="00AE3F91"/>
    <w:rsid w:val="00AE6836"/>
    <w:rsid w:val="00AF524C"/>
    <w:rsid w:val="00AF5572"/>
    <w:rsid w:val="00AF624B"/>
    <w:rsid w:val="00B043D1"/>
    <w:rsid w:val="00B05699"/>
    <w:rsid w:val="00B05B21"/>
    <w:rsid w:val="00B11973"/>
    <w:rsid w:val="00B12BE3"/>
    <w:rsid w:val="00B15523"/>
    <w:rsid w:val="00B20B13"/>
    <w:rsid w:val="00B23F1B"/>
    <w:rsid w:val="00B2491A"/>
    <w:rsid w:val="00B24C51"/>
    <w:rsid w:val="00B27AC3"/>
    <w:rsid w:val="00B31058"/>
    <w:rsid w:val="00B32A44"/>
    <w:rsid w:val="00B353B8"/>
    <w:rsid w:val="00B35789"/>
    <w:rsid w:val="00B367AD"/>
    <w:rsid w:val="00B36A28"/>
    <w:rsid w:val="00B40AFF"/>
    <w:rsid w:val="00B428D7"/>
    <w:rsid w:val="00B44EA9"/>
    <w:rsid w:val="00B4504B"/>
    <w:rsid w:val="00B455E2"/>
    <w:rsid w:val="00B46A1D"/>
    <w:rsid w:val="00B5336E"/>
    <w:rsid w:val="00B61C86"/>
    <w:rsid w:val="00B627B1"/>
    <w:rsid w:val="00B62D6D"/>
    <w:rsid w:val="00B63C05"/>
    <w:rsid w:val="00B643D1"/>
    <w:rsid w:val="00B64467"/>
    <w:rsid w:val="00B669F4"/>
    <w:rsid w:val="00B72449"/>
    <w:rsid w:val="00B72B8A"/>
    <w:rsid w:val="00B751BB"/>
    <w:rsid w:val="00B767F3"/>
    <w:rsid w:val="00B841DA"/>
    <w:rsid w:val="00B84D60"/>
    <w:rsid w:val="00B85736"/>
    <w:rsid w:val="00B867C1"/>
    <w:rsid w:val="00B86F93"/>
    <w:rsid w:val="00B87D02"/>
    <w:rsid w:val="00B90773"/>
    <w:rsid w:val="00B9141B"/>
    <w:rsid w:val="00B94A65"/>
    <w:rsid w:val="00B94E8A"/>
    <w:rsid w:val="00B96998"/>
    <w:rsid w:val="00BA1433"/>
    <w:rsid w:val="00BA1C25"/>
    <w:rsid w:val="00BA483F"/>
    <w:rsid w:val="00BA4E23"/>
    <w:rsid w:val="00BA554F"/>
    <w:rsid w:val="00BA7456"/>
    <w:rsid w:val="00BB0692"/>
    <w:rsid w:val="00BB28E3"/>
    <w:rsid w:val="00BB4C51"/>
    <w:rsid w:val="00BB60A3"/>
    <w:rsid w:val="00BC3C01"/>
    <w:rsid w:val="00BC3F85"/>
    <w:rsid w:val="00BD2C11"/>
    <w:rsid w:val="00BD5AB5"/>
    <w:rsid w:val="00BD74AE"/>
    <w:rsid w:val="00BE01D9"/>
    <w:rsid w:val="00BE3321"/>
    <w:rsid w:val="00BE4871"/>
    <w:rsid w:val="00BE766A"/>
    <w:rsid w:val="00BF3554"/>
    <w:rsid w:val="00BF675C"/>
    <w:rsid w:val="00BF7312"/>
    <w:rsid w:val="00C02C11"/>
    <w:rsid w:val="00C0471C"/>
    <w:rsid w:val="00C04E1B"/>
    <w:rsid w:val="00C10759"/>
    <w:rsid w:val="00C1272F"/>
    <w:rsid w:val="00C12BB1"/>
    <w:rsid w:val="00C12BBB"/>
    <w:rsid w:val="00C13E40"/>
    <w:rsid w:val="00C15444"/>
    <w:rsid w:val="00C168CC"/>
    <w:rsid w:val="00C212C0"/>
    <w:rsid w:val="00C2161D"/>
    <w:rsid w:val="00C2332D"/>
    <w:rsid w:val="00C24FAC"/>
    <w:rsid w:val="00C30250"/>
    <w:rsid w:val="00C33352"/>
    <w:rsid w:val="00C3402F"/>
    <w:rsid w:val="00C40725"/>
    <w:rsid w:val="00C408CF"/>
    <w:rsid w:val="00C42A18"/>
    <w:rsid w:val="00C43952"/>
    <w:rsid w:val="00C43F36"/>
    <w:rsid w:val="00C44272"/>
    <w:rsid w:val="00C442AF"/>
    <w:rsid w:val="00C45E64"/>
    <w:rsid w:val="00C46C38"/>
    <w:rsid w:val="00C51E3E"/>
    <w:rsid w:val="00C51EE8"/>
    <w:rsid w:val="00C6005C"/>
    <w:rsid w:val="00C60874"/>
    <w:rsid w:val="00C62083"/>
    <w:rsid w:val="00C6234F"/>
    <w:rsid w:val="00C627BB"/>
    <w:rsid w:val="00C62C66"/>
    <w:rsid w:val="00C70E5B"/>
    <w:rsid w:val="00C72572"/>
    <w:rsid w:val="00C72849"/>
    <w:rsid w:val="00C73E17"/>
    <w:rsid w:val="00C75D44"/>
    <w:rsid w:val="00C83069"/>
    <w:rsid w:val="00C84064"/>
    <w:rsid w:val="00C84A08"/>
    <w:rsid w:val="00C85DC8"/>
    <w:rsid w:val="00C872E9"/>
    <w:rsid w:val="00C95958"/>
    <w:rsid w:val="00C97001"/>
    <w:rsid w:val="00C9755C"/>
    <w:rsid w:val="00CA071C"/>
    <w:rsid w:val="00CA0E35"/>
    <w:rsid w:val="00CA1350"/>
    <w:rsid w:val="00CA147E"/>
    <w:rsid w:val="00CA24B2"/>
    <w:rsid w:val="00CA62EE"/>
    <w:rsid w:val="00CA657E"/>
    <w:rsid w:val="00CB4750"/>
    <w:rsid w:val="00CB613D"/>
    <w:rsid w:val="00CB6743"/>
    <w:rsid w:val="00CC0DD4"/>
    <w:rsid w:val="00CC20CF"/>
    <w:rsid w:val="00CC2517"/>
    <w:rsid w:val="00CC4F3B"/>
    <w:rsid w:val="00CC65F9"/>
    <w:rsid w:val="00CC688E"/>
    <w:rsid w:val="00CC7DC3"/>
    <w:rsid w:val="00CD1EA0"/>
    <w:rsid w:val="00CD226A"/>
    <w:rsid w:val="00CD31C9"/>
    <w:rsid w:val="00CD4CAB"/>
    <w:rsid w:val="00CE103D"/>
    <w:rsid w:val="00CE2873"/>
    <w:rsid w:val="00CE7727"/>
    <w:rsid w:val="00CF09B6"/>
    <w:rsid w:val="00CF2F22"/>
    <w:rsid w:val="00CF5012"/>
    <w:rsid w:val="00CF67FE"/>
    <w:rsid w:val="00D01844"/>
    <w:rsid w:val="00D02531"/>
    <w:rsid w:val="00D03B9C"/>
    <w:rsid w:val="00D05326"/>
    <w:rsid w:val="00D10C2E"/>
    <w:rsid w:val="00D116E0"/>
    <w:rsid w:val="00D134F4"/>
    <w:rsid w:val="00D1407F"/>
    <w:rsid w:val="00D258FB"/>
    <w:rsid w:val="00D36956"/>
    <w:rsid w:val="00D37B16"/>
    <w:rsid w:val="00D42786"/>
    <w:rsid w:val="00D466F6"/>
    <w:rsid w:val="00D50C40"/>
    <w:rsid w:val="00D51BDE"/>
    <w:rsid w:val="00D51FD5"/>
    <w:rsid w:val="00D51FED"/>
    <w:rsid w:val="00D520A5"/>
    <w:rsid w:val="00D53936"/>
    <w:rsid w:val="00D54E4D"/>
    <w:rsid w:val="00D55C78"/>
    <w:rsid w:val="00D607B7"/>
    <w:rsid w:val="00D62028"/>
    <w:rsid w:val="00D64CEF"/>
    <w:rsid w:val="00D6649F"/>
    <w:rsid w:val="00D723D1"/>
    <w:rsid w:val="00D7292E"/>
    <w:rsid w:val="00D76C72"/>
    <w:rsid w:val="00D8062B"/>
    <w:rsid w:val="00D80C9F"/>
    <w:rsid w:val="00D82C79"/>
    <w:rsid w:val="00D836E1"/>
    <w:rsid w:val="00D8388C"/>
    <w:rsid w:val="00D8589C"/>
    <w:rsid w:val="00D860CF"/>
    <w:rsid w:val="00D95A73"/>
    <w:rsid w:val="00D9715C"/>
    <w:rsid w:val="00DA0129"/>
    <w:rsid w:val="00DA2BF2"/>
    <w:rsid w:val="00DA3149"/>
    <w:rsid w:val="00DA3330"/>
    <w:rsid w:val="00DA56CD"/>
    <w:rsid w:val="00DA6D2C"/>
    <w:rsid w:val="00DB5A13"/>
    <w:rsid w:val="00DB5FE5"/>
    <w:rsid w:val="00DB6B51"/>
    <w:rsid w:val="00DB6BBC"/>
    <w:rsid w:val="00DB7955"/>
    <w:rsid w:val="00DC69D1"/>
    <w:rsid w:val="00DD10E4"/>
    <w:rsid w:val="00DD119E"/>
    <w:rsid w:val="00DD2D32"/>
    <w:rsid w:val="00DD49FE"/>
    <w:rsid w:val="00DD4CF7"/>
    <w:rsid w:val="00DD5F28"/>
    <w:rsid w:val="00DD6C36"/>
    <w:rsid w:val="00DD6D2D"/>
    <w:rsid w:val="00DE09E5"/>
    <w:rsid w:val="00DE0AC5"/>
    <w:rsid w:val="00DE2EC2"/>
    <w:rsid w:val="00DF166D"/>
    <w:rsid w:val="00DF19E5"/>
    <w:rsid w:val="00DF2448"/>
    <w:rsid w:val="00DF6D3C"/>
    <w:rsid w:val="00DF717C"/>
    <w:rsid w:val="00DF73E8"/>
    <w:rsid w:val="00E00415"/>
    <w:rsid w:val="00E062BF"/>
    <w:rsid w:val="00E07F7C"/>
    <w:rsid w:val="00E11436"/>
    <w:rsid w:val="00E118CB"/>
    <w:rsid w:val="00E139E4"/>
    <w:rsid w:val="00E1544B"/>
    <w:rsid w:val="00E15CE1"/>
    <w:rsid w:val="00E176D0"/>
    <w:rsid w:val="00E23A05"/>
    <w:rsid w:val="00E3129F"/>
    <w:rsid w:val="00E37906"/>
    <w:rsid w:val="00E40DCA"/>
    <w:rsid w:val="00E42FD3"/>
    <w:rsid w:val="00E464E0"/>
    <w:rsid w:val="00E46804"/>
    <w:rsid w:val="00E55DA0"/>
    <w:rsid w:val="00E60F88"/>
    <w:rsid w:val="00E62DB3"/>
    <w:rsid w:val="00E6388C"/>
    <w:rsid w:val="00E74B5F"/>
    <w:rsid w:val="00E75063"/>
    <w:rsid w:val="00E8161B"/>
    <w:rsid w:val="00E81BB5"/>
    <w:rsid w:val="00E84821"/>
    <w:rsid w:val="00E878AD"/>
    <w:rsid w:val="00E87FF7"/>
    <w:rsid w:val="00E90274"/>
    <w:rsid w:val="00E9636F"/>
    <w:rsid w:val="00E965AB"/>
    <w:rsid w:val="00EA67A1"/>
    <w:rsid w:val="00EB0676"/>
    <w:rsid w:val="00EB1346"/>
    <w:rsid w:val="00EB17ED"/>
    <w:rsid w:val="00EB23A9"/>
    <w:rsid w:val="00EB5B48"/>
    <w:rsid w:val="00EB7302"/>
    <w:rsid w:val="00EC51D8"/>
    <w:rsid w:val="00ED1D08"/>
    <w:rsid w:val="00ED1FA6"/>
    <w:rsid w:val="00ED4074"/>
    <w:rsid w:val="00EE0866"/>
    <w:rsid w:val="00EE23E2"/>
    <w:rsid w:val="00EE37C7"/>
    <w:rsid w:val="00EE3FBF"/>
    <w:rsid w:val="00EE6D4A"/>
    <w:rsid w:val="00EE75BA"/>
    <w:rsid w:val="00EE78AB"/>
    <w:rsid w:val="00EF20EA"/>
    <w:rsid w:val="00EF2890"/>
    <w:rsid w:val="00EF411F"/>
    <w:rsid w:val="00EF70A5"/>
    <w:rsid w:val="00EF7AC5"/>
    <w:rsid w:val="00F00260"/>
    <w:rsid w:val="00F00A82"/>
    <w:rsid w:val="00F06B12"/>
    <w:rsid w:val="00F10425"/>
    <w:rsid w:val="00F11C12"/>
    <w:rsid w:val="00F133D3"/>
    <w:rsid w:val="00F13702"/>
    <w:rsid w:val="00F1426E"/>
    <w:rsid w:val="00F164C1"/>
    <w:rsid w:val="00F16D14"/>
    <w:rsid w:val="00F20A01"/>
    <w:rsid w:val="00F237F2"/>
    <w:rsid w:val="00F25E53"/>
    <w:rsid w:val="00F35CE0"/>
    <w:rsid w:val="00F41A5B"/>
    <w:rsid w:val="00F41A91"/>
    <w:rsid w:val="00F43EB2"/>
    <w:rsid w:val="00F44444"/>
    <w:rsid w:val="00F458F6"/>
    <w:rsid w:val="00F46AD4"/>
    <w:rsid w:val="00F51644"/>
    <w:rsid w:val="00F546C1"/>
    <w:rsid w:val="00F56220"/>
    <w:rsid w:val="00F56624"/>
    <w:rsid w:val="00F61689"/>
    <w:rsid w:val="00F63543"/>
    <w:rsid w:val="00F63EBC"/>
    <w:rsid w:val="00F64431"/>
    <w:rsid w:val="00F6701D"/>
    <w:rsid w:val="00F67DA4"/>
    <w:rsid w:val="00F72A25"/>
    <w:rsid w:val="00F7550A"/>
    <w:rsid w:val="00F75BCC"/>
    <w:rsid w:val="00F77B8F"/>
    <w:rsid w:val="00F80A5F"/>
    <w:rsid w:val="00F819AE"/>
    <w:rsid w:val="00F87C50"/>
    <w:rsid w:val="00F901A3"/>
    <w:rsid w:val="00F91FBD"/>
    <w:rsid w:val="00F9226D"/>
    <w:rsid w:val="00F94479"/>
    <w:rsid w:val="00FA2159"/>
    <w:rsid w:val="00FA433D"/>
    <w:rsid w:val="00FA4F4E"/>
    <w:rsid w:val="00FA7FD6"/>
    <w:rsid w:val="00FB2107"/>
    <w:rsid w:val="00FB2684"/>
    <w:rsid w:val="00FB46AA"/>
    <w:rsid w:val="00FB5224"/>
    <w:rsid w:val="00FB6D70"/>
    <w:rsid w:val="00FB6DCF"/>
    <w:rsid w:val="00FC1A75"/>
    <w:rsid w:val="00FC3E05"/>
    <w:rsid w:val="00FC49ED"/>
    <w:rsid w:val="00FC62C3"/>
    <w:rsid w:val="00FC70F8"/>
    <w:rsid w:val="00FD014C"/>
    <w:rsid w:val="00FD3B84"/>
    <w:rsid w:val="00FD3D9D"/>
    <w:rsid w:val="00FE1445"/>
    <w:rsid w:val="00FE590E"/>
    <w:rsid w:val="00FF18DE"/>
    <w:rsid w:val="00FF3E19"/>
    <w:rsid w:val="02B31604"/>
    <w:rsid w:val="03420D6D"/>
    <w:rsid w:val="038A0641"/>
    <w:rsid w:val="05133526"/>
    <w:rsid w:val="05CF6F77"/>
    <w:rsid w:val="05F203EA"/>
    <w:rsid w:val="07A34084"/>
    <w:rsid w:val="082E5B84"/>
    <w:rsid w:val="09716823"/>
    <w:rsid w:val="09AA6C13"/>
    <w:rsid w:val="09EE5BEC"/>
    <w:rsid w:val="09F95E94"/>
    <w:rsid w:val="0A1222F2"/>
    <w:rsid w:val="0A79278A"/>
    <w:rsid w:val="0ABE492D"/>
    <w:rsid w:val="0B5E0480"/>
    <w:rsid w:val="0BAB70D1"/>
    <w:rsid w:val="0D204F62"/>
    <w:rsid w:val="0E54478C"/>
    <w:rsid w:val="0F603AF7"/>
    <w:rsid w:val="10E31875"/>
    <w:rsid w:val="11F96E8B"/>
    <w:rsid w:val="13511AFE"/>
    <w:rsid w:val="14160E3E"/>
    <w:rsid w:val="15E85010"/>
    <w:rsid w:val="16276847"/>
    <w:rsid w:val="18BB505E"/>
    <w:rsid w:val="1901359F"/>
    <w:rsid w:val="192D2D9A"/>
    <w:rsid w:val="19CC4A37"/>
    <w:rsid w:val="19FF1391"/>
    <w:rsid w:val="1A566878"/>
    <w:rsid w:val="1A6C71F6"/>
    <w:rsid w:val="1ABF5782"/>
    <w:rsid w:val="1ACE03A7"/>
    <w:rsid w:val="1AF00EF0"/>
    <w:rsid w:val="1C4536CD"/>
    <w:rsid w:val="1CDF4D82"/>
    <w:rsid w:val="1CFB4623"/>
    <w:rsid w:val="1DF92F96"/>
    <w:rsid w:val="1EFA7BB7"/>
    <w:rsid w:val="22165275"/>
    <w:rsid w:val="2252153F"/>
    <w:rsid w:val="22597B0D"/>
    <w:rsid w:val="25DF39FE"/>
    <w:rsid w:val="26C47042"/>
    <w:rsid w:val="26DF61BB"/>
    <w:rsid w:val="26EA1746"/>
    <w:rsid w:val="275A4380"/>
    <w:rsid w:val="280A4C20"/>
    <w:rsid w:val="280D5FE5"/>
    <w:rsid w:val="28471BAB"/>
    <w:rsid w:val="29570DC3"/>
    <w:rsid w:val="295A396B"/>
    <w:rsid w:val="2A0055E0"/>
    <w:rsid w:val="2A13121F"/>
    <w:rsid w:val="2C030243"/>
    <w:rsid w:val="2D6D7E14"/>
    <w:rsid w:val="2E33685D"/>
    <w:rsid w:val="2F216341"/>
    <w:rsid w:val="2F2B28EA"/>
    <w:rsid w:val="2F854A06"/>
    <w:rsid w:val="30E9194F"/>
    <w:rsid w:val="35FF13F0"/>
    <w:rsid w:val="36A60926"/>
    <w:rsid w:val="372033B7"/>
    <w:rsid w:val="38534C13"/>
    <w:rsid w:val="387860D4"/>
    <w:rsid w:val="39933589"/>
    <w:rsid w:val="39B37311"/>
    <w:rsid w:val="39D86E4F"/>
    <w:rsid w:val="3A863F1B"/>
    <w:rsid w:val="3B3B366B"/>
    <w:rsid w:val="3BCF669A"/>
    <w:rsid w:val="3D3155B5"/>
    <w:rsid w:val="3E003293"/>
    <w:rsid w:val="3E224EFA"/>
    <w:rsid w:val="3FC32A39"/>
    <w:rsid w:val="4046385B"/>
    <w:rsid w:val="4079612B"/>
    <w:rsid w:val="4082309D"/>
    <w:rsid w:val="4142269E"/>
    <w:rsid w:val="416C0965"/>
    <w:rsid w:val="417C1E07"/>
    <w:rsid w:val="429057F1"/>
    <w:rsid w:val="42BA6B69"/>
    <w:rsid w:val="43514FA5"/>
    <w:rsid w:val="43AA2857"/>
    <w:rsid w:val="44634480"/>
    <w:rsid w:val="44DD2D42"/>
    <w:rsid w:val="451A3E32"/>
    <w:rsid w:val="4596321D"/>
    <w:rsid w:val="47B61DC0"/>
    <w:rsid w:val="4AB55859"/>
    <w:rsid w:val="4CCF14D5"/>
    <w:rsid w:val="4DF7261B"/>
    <w:rsid w:val="4DFE4E9D"/>
    <w:rsid w:val="4FBB02BE"/>
    <w:rsid w:val="50BE3CAD"/>
    <w:rsid w:val="523163A8"/>
    <w:rsid w:val="52537453"/>
    <w:rsid w:val="527B1018"/>
    <w:rsid w:val="531E4D2C"/>
    <w:rsid w:val="53722281"/>
    <w:rsid w:val="537757C0"/>
    <w:rsid w:val="5378344C"/>
    <w:rsid w:val="53A32F03"/>
    <w:rsid w:val="53BE184D"/>
    <w:rsid w:val="55CD1B61"/>
    <w:rsid w:val="57F07517"/>
    <w:rsid w:val="58CB741D"/>
    <w:rsid w:val="59422E31"/>
    <w:rsid w:val="5948379E"/>
    <w:rsid w:val="59C27E23"/>
    <w:rsid w:val="5A996470"/>
    <w:rsid w:val="5ACD0280"/>
    <w:rsid w:val="5B804F0F"/>
    <w:rsid w:val="5BEF064C"/>
    <w:rsid w:val="5C4C006A"/>
    <w:rsid w:val="5C974314"/>
    <w:rsid w:val="5C9D3B78"/>
    <w:rsid w:val="5D5C1009"/>
    <w:rsid w:val="5ED17214"/>
    <w:rsid w:val="5F2C2F24"/>
    <w:rsid w:val="5F581162"/>
    <w:rsid w:val="5F602550"/>
    <w:rsid w:val="5FAD4247"/>
    <w:rsid w:val="60197E76"/>
    <w:rsid w:val="604D2495"/>
    <w:rsid w:val="620C39C9"/>
    <w:rsid w:val="62337AC8"/>
    <w:rsid w:val="62EF14BC"/>
    <w:rsid w:val="67992AE5"/>
    <w:rsid w:val="679B77DE"/>
    <w:rsid w:val="68954239"/>
    <w:rsid w:val="68FD1E98"/>
    <w:rsid w:val="694F770D"/>
    <w:rsid w:val="69616C8E"/>
    <w:rsid w:val="698E48BA"/>
    <w:rsid w:val="6A2928EA"/>
    <w:rsid w:val="6C2B3CD7"/>
    <w:rsid w:val="6C2C707E"/>
    <w:rsid w:val="6C943A98"/>
    <w:rsid w:val="6D897519"/>
    <w:rsid w:val="6DA51F5D"/>
    <w:rsid w:val="6F0D284A"/>
    <w:rsid w:val="6F3B0E77"/>
    <w:rsid w:val="714A1582"/>
    <w:rsid w:val="72431D4F"/>
    <w:rsid w:val="72F54151"/>
    <w:rsid w:val="734F7159"/>
    <w:rsid w:val="73B361A7"/>
    <w:rsid w:val="73DA752C"/>
    <w:rsid w:val="74260BBE"/>
    <w:rsid w:val="74CF2DF3"/>
    <w:rsid w:val="75302497"/>
    <w:rsid w:val="75B4170A"/>
    <w:rsid w:val="77280DC3"/>
    <w:rsid w:val="774701AF"/>
    <w:rsid w:val="77723DBC"/>
    <w:rsid w:val="77BC76B0"/>
    <w:rsid w:val="7ABD3809"/>
    <w:rsid w:val="7D22104A"/>
    <w:rsid w:val="7E463C0B"/>
    <w:rsid w:val="7FDB37DE"/>
    <w:rsid w:val="7FF23061"/>
    <w:rsid w:val="7FF5550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12">
    <w:name w:val="Default Paragraph Font"/>
    <w:semiHidden/>
    <w:uiPriority w:val="0"/>
  </w:style>
  <w:style w:type="table" w:default="1" w:styleId="10">
    <w:name w:val="Normal Table"/>
    <w:semiHidden/>
    <w:uiPriority w:val="0"/>
    <w:tblPr>
      <w:tblStyle w:val="10"/>
      <w:tblCellMar>
        <w:top w:w="0" w:type="dxa"/>
        <w:left w:w="108" w:type="dxa"/>
        <w:bottom w:w="0" w:type="dxa"/>
        <w:right w:w="108" w:type="dxa"/>
      </w:tblCellMar>
    </w:tblPr>
  </w:style>
  <w:style w:type="paragraph" w:styleId="2">
    <w:name w:val="annotation text"/>
    <w:basedOn w:val="1"/>
    <w:link w:val="16"/>
    <w:uiPriority w:val="0"/>
    <w:pPr>
      <w:jc w:val="left"/>
    </w:pPr>
  </w:style>
  <w:style w:type="paragraph" w:styleId="3">
    <w:name w:val="Plain Text"/>
    <w:basedOn w:val="1"/>
    <w:link w:val="17"/>
    <w:uiPriority w:val="0"/>
    <w:rPr>
      <w:rFonts w:ascii="宋体" w:hAnsi="Courier New"/>
      <w:szCs w:val="20"/>
    </w:rPr>
  </w:style>
  <w:style w:type="paragraph" w:styleId="4">
    <w:name w:val="Body Text Indent 2"/>
    <w:basedOn w:val="1"/>
    <w:link w:val="18"/>
    <w:uiPriority w:val="0"/>
    <w:pPr>
      <w:spacing w:line="600" w:lineRule="exact"/>
      <w:ind w:firstLine="646"/>
    </w:pPr>
    <w:rPr>
      <w:rFonts w:ascii="仿宋_GB2312" w:eastAsia="仿宋_GB2312"/>
      <w:sz w:val="32"/>
      <w:szCs w:val="20"/>
    </w:rPr>
  </w:style>
  <w:style w:type="paragraph" w:styleId="5">
    <w:name w:val="Balloon Text"/>
    <w:basedOn w:val="1"/>
    <w:semiHidden/>
    <w:uiPriority w:val="0"/>
    <w:rPr>
      <w:sz w:val="18"/>
      <w:szCs w:val="18"/>
    </w:rPr>
  </w:style>
  <w:style w:type="paragraph" w:styleId="6">
    <w:name w:val="footer"/>
    <w:basedOn w:val="1"/>
    <w:link w:val="19"/>
    <w:uiPriority w:val="99"/>
    <w:pPr>
      <w:tabs>
        <w:tab w:val="center" w:pos="4153"/>
        <w:tab w:val="right" w:pos="8306"/>
      </w:tabs>
      <w:snapToGrid w:val="0"/>
      <w:jc w:val="left"/>
    </w:pPr>
    <w:rPr>
      <w:sz w:val="18"/>
      <w:szCs w:val="18"/>
    </w:rPr>
  </w:style>
  <w:style w:type="paragraph" w:styleId="7">
    <w:name w:val="header"/>
    <w:basedOn w:val="1"/>
    <w:link w:val="20"/>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iPriority w:val="0"/>
    <w:pPr>
      <w:widowControl/>
      <w:spacing w:before="100" w:beforeAutospacing="1" w:after="100" w:afterAutospacing="1"/>
      <w:jc w:val="left"/>
    </w:pPr>
    <w:rPr>
      <w:rFonts w:ascii="宋体" w:hAnsi="宋体" w:cs="宋体"/>
      <w:kern w:val="0"/>
      <w:sz w:val="24"/>
    </w:rPr>
  </w:style>
  <w:style w:type="paragraph" w:styleId="9">
    <w:name w:val="annotation subject"/>
    <w:basedOn w:val="2"/>
    <w:next w:val="2"/>
    <w:link w:val="21"/>
    <w:uiPriority w:val="0"/>
    <w:rPr>
      <w:b/>
      <w:bCs/>
    </w:rPr>
  </w:style>
  <w:style w:type="table" w:styleId="11">
    <w:name w:val="Table Grid"/>
    <w:basedOn w:val="10"/>
    <w:uiPriority w:val="0"/>
    <w:pPr>
      <w:widowControl w:val="0"/>
      <w:jc w:val="both"/>
    </w:pPr>
    <w:tblPr>
      <w:tblStyle w:val="1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uiPriority w:val="0"/>
  </w:style>
  <w:style w:type="character" w:styleId="14">
    <w:name w:val="Hyperlink"/>
    <w:uiPriority w:val="0"/>
    <w:rPr>
      <w:color w:val="0000FF"/>
      <w:u w:val="single"/>
    </w:rPr>
  </w:style>
  <w:style w:type="character" w:styleId="15">
    <w:name w:val="annotation reference"/>
    <w:uiPriority w:val="0"/>
    <w:rPr>
      <w:sz w:val="21"/>
      <w:szCs w:val="21"/>
    </w:rPr>
  </w:style>
  <w:style w:type="character" w:customStyle="1" w:styleId="16">
    <w:name w:val="批注文字 字符"/>
    <w:link w:val="2"/>
    <w:uiPriority w:val="0"/>
    <w:rPr>
      <w:kern w:val="2"/>
      <w:sz w:val="21"/>
      <w:szCs w:val="24"/>
    </w:rPr>
  </w:style>
  <w:style w:type="character" w:customStyle="1" w:styleId="17">
    <w:name w:val="纯文本 字符"/>
    <w:link w:val="3"/>
    <w:uiPriority w:val="0"/>
    <w:rPr>
      <w:rFonts w:ascii="宋体" w:hAnsi="Courier New"/>
      <w:kern w:val="2"/>
      <w:sz w:val="21"/>
    </w:rPr>
  </w:style>
  <w:style w:type="character" w:customStyle="1" w:styleId="18">
    <w:name w:val="正文文本缩进 2 字符"/>
    <w:link w:val="4"/>
    <w:uiPriority w:val="0"/>
    <w:rPr>
      <w:rFonts w:ascii="仿宋_GB2312" w:eastAsia="仿宋_GB2312"/>
      <w:kern w:val="2"/>
      <w:sz w:val="32"/>
    </w:rPr>
  </w:style>
  <w:style w:type="character" w:customStyle="1" w:styleId="19">
    <w:name w:val="页脚 字符"/>
    <w:link w:val="6"/>
    <w:uiPriority w:val="99"/>
    <w:rPr>
      <w:kern w:val="2"/>
      <w:sz w:val="18"/>
      <w:szCs w:val="18"/>
    </w:rPr>
  </w:style>
  <w:style w:type="character" w:customStyle="1" w:styleId="20">
    <w:name w:val="页眉 字符"/>
    <w:link w:val="7"/>
    <w:uiPriority w:val="0"/>
    <w:rPr>
      <w:kern w:val="2"/>
      <w:sz w:val="18"/>
      <w:szCs w:val="18"/>
    </w:rPr>
  </w:style>
  <w:style w:type="character" w:customStyle="1" w:styleId="21">
    <w:name w:val="批注主题 字符"/>
    <w:link w:val="9"/>
    <w:uiPriority w:val="0"/>
    <w:rPr>
      <w:b/>
      <w:bCs/>
      <w:kern w:val="2"/>
      <w:sz w:val="21"/>
      <w:szCs w:val="24"/>
    </w:rPr>
  </w:style>
  <w:style w:type="paragraph" w:customStyle="1" w:styleId="22">
    <w:name w:val=" Char Char Char Char Char Char Char Char Char"/>
    <w:basedOn w:val="1"/>
    <w:uiPriority w:val="0"/>
    <w:pPr>
      <w:numPr>
        <w:ilvl w:val="0"/>
        <w:numId w:val="1"/>
      </w:numPr>
    </w:pPr>
    <w:rPr>
      <w:sz w:val="24"/>
    </w:rPr>
  </w:style>
  <w:style w:type="paragraph" w:customStyle="1" w:styleId="23">
    <w:name w:val="CM5"/>
    <w:basedOn w:val="1"/>
    <w:next w:val="1"/>
    <w:uiPriority w:val="0"/>
    <w:pPr>
      <w:autoSpaceDE w:val="0"/>
      <w:autoSpaceDN w:val="0"/>
      <w:adjustRightInd w:val="0"/>
      <w:spacing w:line="520" w:lineRule="atLeast"/>
      <w:jc w:val="left"/>
    </w:pPr>
    <w:rPr>
      <w:rFonts w:ascii="..ì." w:eastAsia="..ì."/>
      <w:kern w:val="0"/>
      <w:sz w:val="24"/>
    </w:rPr>
  </w:style>
  <w:style w:type="paragraph" w:customStyle="1" w:styleId="24">
    <w:name w:val="Default"/>
    <w:uiPriority w:val="0"/>
    <w:pPr>
      <w:widowControl w:val="0"/>
      <w:autoSpaceDE w:val="0"/>
      <w:autoSpaceDN w:val="0"/>
      <w:adjustRightInd w:val="0"/>
    </w:pPr>
    <w:rPr>
      <w:rFonts w:ascii="宋体" w:cs="宋体"/>
      <w:color w:val="000000"/>
      <w:sz w:val="24"/>
      <w:szCs w:val="24"/>
      <w:lang w:val="en-US" w:eastAsia="zh-CN" w:bidi="ar-SA"/>
    </w:rPr>
  </w:style>
  <w:style w:type="paragraph" w:customStyle="1" w:styleId="25">
    <w:name w:val="CM2"/>
    <w:basedOn w:val="24"/>
    <w:next w:val="24"/>
    <w:uiPriority w:val="0"/>
    <w:pPr>
      <w:spacing w:line="511" w:lineRule="atLeast"/>
    </w:pPr>
    <w:rPr>
      <w:rFonts w:cs="Times New Roman"/>
      <w:color w:val="auto"/>
    </w:rPr>
  </w:style>
  <w:style w:type="paragraph" w:customStyle="1" w:styleId="26">
    <w:name w:val="CM10"/>
    <w:basedOn w:val="24"/>
    <w:next w:val="24"/>
    <w:uiPriority w:val="0"/>
    <w:pPr>
      <w:spacing w:after="723"/>
    </w:pPr>
    <w:rPr>
      <w:rFonts w:ascii="黑体" w:eastAsia="黑体" w:cs="Times New Roman"/>
      <w:color w:val="auto"/>
    </w:rPr>
  </w:style>
  <w:style w:type="paragraph" w:customStyle="1" w:styleId="27">
    <w:name w:val="CM11"/>
    <w:basedOn w:val="1"/>
    <w:next w:val="1"/>
    <w:uiPriority w:val="0"/>
    <w:pPr>
      <w:autoSpaceDE w:val="0"/>
      <w:autoSpaceDN w:val="0"/>
      <w:adjustRightInd w:val="0"/>
      <w:spacing w:line="626" w:lineRule="atLeast"/>
      <w:jc w:val="left"/>
    </w:pPr>
    <w:rPr>
      <w:rFonts w:ascii="仿宋_GB2312" w:eastAsia="仿宋_GB2312"/>
      <w:kern w:val="0"/>
      <w:sz w:val="24"/>
    </w:rPr>
  </w:style>
  <w:style w:type="paragraph" w:customStyle="1" w:styleId="28">
    <w:name w:val="CM13"/>
    <w:basedOn w:val="1"/>
    <w:next w:val="1"/>
    <w:uiPriority w:val="0"/>
    <w:pPr>
      <w:autoSpaceDE w:val="0"/>
      <w:autoSpaceDN w:val="0"/>
      <w:adjustRightInd w:val="0"/>
      <w:spacing w:line="626" w:lineRule="atLeast"/>
      <w:jc w:val="left"/>
    </w:pPr>
    <w:rPr>
      <w:rFonts w:ascii="仿宋_GB2312" w:eastAsia="仿宋_GB2312"/>
      <w:kern w:val="0"/>
      <w:sz w:val="24"/>
    </w:rPr>
  </w:style>
  <w:style w:type="paragraph" w:customStyle="1" w:styleId="29">
    <w:name w:val="CM8"/>
    <w:basedOn w:val="24"/>
    <w:next w:val="24"/>
    <w:uiPriority w:val="0"/>
    <w:pPr>
      <w:spacing w:after="228"/>
    </w:pPr>
    <w:rPr>
      <w:color w:val="auto"/>
    </w:rPr>
  </w:style>
  <w:style w:type="paragraph" w:customStyle="1" w:styleId="30">
    <w:name w:val="CM1"/>
    <w:basedOn w:val="24"/>
    <w:next w:val="24"/>
    <w:uiPriority w:val="0"/>
    <w:rPr>
      <w:rFonts w:cs="Times New Roman"/>
      <w:color w:val="auto"/>
    </w:rPr>
  </w:style>
  <w:style w:type="paragraph" w:customStyle="1" w:styleId="31">
    <w:name w:val="CM3"/>
    <w:basedOn w:val="24"/>
    <w:next w:val="24"/>
    <w:uiPriority w:val="0"/>
    <w:pPr>
      <w:spacing w:line="468" w:lineRule="atLeast"/>
    </w:pPr>
    <w:rPr>
      <w:rFonts w:cs="Times New Roman"/>
      <w:color w:val="auto"/>
    </w:rPr>
  </w:style>
  <w:style w:type="paragraph" w:customStyle="1" w:styleId="32">
    <w:name w:val="CM4"/>
    <w:basedOn w:val="24"/>
    <w:next w:val="24"/>
    <w:uiPriority w:val="0"/>
    <w:pPr>
      <w:spacing w:line="468" w:lineRule="atLeast"/>
    </w:pPr>
    <w:rPr>
      <w:rFonts w:cs="Times New Roman"/>
      <w:color w:val="auto"/>
    </w:rPr>
  </w:style>
  <w:style w:type="paragraph" w:customStyle="1" w:styleId="33">
    <w:name w:val="CM6"/>
    <w:basedOn w:val="24"/>
    <w:next w:val="24"/>
    <w:uiPriority w:val="0"/>
    <w:pPr>
      <w:spacing w:line="468" w:lineRule="atLeast"/>
    </w:pPr>
    <w:rPr>
      <w:rFonts w:cs="Times New Roman"/>
      <w:color w:val="auto"/>
    </w:rPr>
  </w:style>
  <w:style w:type="paragraph" w:customStyle="1" w:styleId="34">
    <w:name w:val="CM12"/>
    <w:basedOn w:val="24"/>
    <w:next w:val="24"/>
    <w:uiPriority w:val="0"/>
    <w:pPr>
      <w:spacing w:after="193"/>
    </w:pPr>
    <w:rPr>
      <w:rFonts w:cs="Times New Roman"/>
      <w:color w:val="auto"/>
    </w:rPr>
  </w:style>
  <w:style w:type="paragraph" w:customStyle="1" w:styleId="35">
    <w:name w:val="CM9"/>
    <w:basedOn w:val="24"/>
    <w:next w:val="24"/>
    <w:uiPriority w:val="0"/>
    <w:rPr>
      <w:rFonts w:cs="Times New Roman"/>
      <w:color w:val="auto"/>
    </w:rPr>
  </w:style>
  <w:style w:type="paragraph" w:customStyle="1" w:styleId="36">
    <w:name w:val="CM15"/>
    <w:basedOn w:val="24"/>
    <w:next w:val="24"/>
    <w:uiPriority w:val="0"/>
    <w:pPr>
      <w:spacing w:after="338"/>
    </w:pPr>
    <w:rPr>
      <w:rFonts w:cs="Times New Roman"/>
      <w:color w:val="auto"/>
    </w:rPr>
  </w:style>
  <w:style w:type="paragraph" w:customStyle="1" w:styleId="37">
    <w:name w:val="CM17"/>
    <w:basedOn w:val="24"/>
    <w:next w:val="24"/>
    <w:uiPriority w:val="0"/>
    <w:pPr>
      <w:spacing w:after="188"/>
    </w:pPr>
    <w:rPr>
      <w:rFonts w:cs="Times New Roman"/>
      <w:color w:va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256</Words>
  <Characters>1461</Characters>
  <Lines>12</Lines>
  <Paragraphs>3</Paragraphs>
  <TotalTime>12</TotalTime>
  <ScaleCrop>false</ScaleCrop>
  <LinksUpToDate>false</LinksUpToDate>
  <CharactersWithSpaces>1714</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2018-10-29T09:59:00Z</dcterms:created>
  <dc:creator>张春红</dc:creator>
  <cp:lastModifiedBy>海涛</cp:lastModifiedBy>
  <cp:lastPrinted>2018-07-26T03:32:00Z</cp:lastPrinted>
  <dcterms:modified xsi:type="dcterms:W3CDTF">2023-09-20T09:57:11Z</dcterms:modified>
  <dc:title>证券代码：000881 证券简称：大连国际 公告编号：</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21A57734188C4DD6B2251D7C9FC72F3A_13</vt:lpwstr>
  </property>
</Properties>
</file>