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noWrap w:val="0"/>
            <w:vAlign w:val="top"/>
          </w:tcPr>
          <w:p>
            <w:pPr>
              <w:adjustRightInd w:val="0"/>
              <w:snapToGrid w:val="0"/>
              <w:spacing w:line="440" w:lineRule="exact"/>
              <w:rPr>
                <w:rFonts w:hint="default" w:ascii="Times New Roman" w:hAnsi="Times New Roman" w:cs="Times New Roman"/>
                <w:sz w:val="24"/>
              </w:rPr>
            </w:pPr>
            <w:r>
              <w:rPr>
                <w:rFonts w:hint="default" w:ascii="Times New Roman" w:hAnsi="Times New Roman" w:cs="Times New Roman"/>
                <w:sz w:val="24"/>
              </w:rPr>
              <w:t>证券代码：000881</w:t>
            </w:r>
          </w:p>
        </w:tc>
        <w:tc>
          <w:tcPr>
            <w:tcW w:w="1667" w:type="pct"/>
            <w:noWrap w:val="0"/>
            <w:vAlign w:val="top"/>
          </w:tcPr>
          <w:p>
            <w:pPr>
              <w:adjustRightInd w:val="0"/>
              <w:snapToGrid w:val="0"/>
              <w:spacing w:line="440" w:lineRule="exact"/>
              <w:jc w:val="center"/>
              <w:rPr>
                <w:rFonts w:hint="default" w:ascii="Times New Roman" w:hAnsi="Times New Roman" w:cs="Times New Roman"/>
                <w:sz w:val="24"/>
              </w:rPr>
            </w:pPr>
            <w:r>
              <w:rPr>
                <w:rFonts w:hint="default" w:ascii="Times New Roman" w:hAnsi="Times New Roman" w:cs="Times New Roman"/>
                <w:sz w:val="24"/>
              </w:rPr>
              <w:t>证券简称：中广核技</w:t>
            </w:r>
          </w:p>
        </w:tc>
        <w:tc>
          <w:tcPr>
            <w:tcW w:w="1667" w:type="pct"/>
            <w:noWrap w:val="0"/>
            <w:vAlign w:val="top"/>
          </w:tcPr>
          <w:p>
            <w:pPr>
              <w:adjustRightInd w:val="0"/>
              <w:snapToGrid w:val="0"/>
              <w:spacing w:line="440" w:lineRule="exact"/>
              <w:jc w:val="right"/>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rPr>
              <w:t>公告编号：202</w:t>
            </w:r>
            <w:r>
              <w:rPr>
                <w:rFonts w:hint="eastAsia"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w:t>
            </w:r>
            <w:r>
              <w:rPr>
                <w:rFonts w:hint="eastAsia" w:cs="Times New Roman"/>
                <w:color w:val="auto"/>
                <w:sz w:val="24"/>
                <w:highlight w:val="none"/>
                <w:lang w:val="en-US" w:eastAsia="zh-CN"/>
              </w:rPr>
              <w:t>100</w:t>
            </w:r>
          </w:p>
        </w:tc>
      </w:tr>
    </w:tbl>
    <w:p>
      <w:pPr>
        <w:snapToGrid w:val="0"/>
        <w:spacing w:before="156" w:beforeLines="50"/>
        <w:jc w:val="center"/>
        <w:rPr>
          <w:rFonts w:hint="default" w:ascii="Times New Roman" w:hAnsi="Times New Roman" w:cs="Times New Roman"/>
          <w:b/>
          <w:sz w:val="36"/>
          <w:szCs w:val="36"/>
        </w:rPr>
      </w:pPr>
      <w:r>
        <w:rPr>
          <w:rFonts w:hint="default" w:ascii="Times New Roman" w:hAnsi="Times New Roman" w:cs="Times New Roman"/>
          <w:b/>
          <w:sz w:val="36"/>
          <w:szCs w:val="36"/>
        </w:rPr>
        <w:t>中广核核技术发展股份有限公司</w:t>
      </w:r>
    </w:p>
    <w:p>
      <w:pPr>
        <w:snapToGrid w:val="0"/>
        <w:jc w:val="center"/>
        <w:rPr>
          <w:rFonts w:hint="default" w:ascii="Times New Roman" w:hAnsi="Times New Roman" w:cs="Times New Roman"/>
          <w:b/>
          <w:sz w:val="36"/>
          <w:szCs w:val="36"/>
        </w:rPr>
      </w:pPr>
      <w:r>
        <w:rPr>
          <w:rFonts w:hint="default" w:ascii="Times New Roman" w:hAnsi="Times New Roman" w:cs="Times New Roman"/>
          <w:b/>
          <w:sz w:val="36"/>
          <w:szCs w:val="36"/>
        </w:rPr>
        <w:t>关于</w:t>
      </w:r>
      <w:r>
        <w:rPr>
          <w:rFonts w:hint="eastAsia" w:ascii="Times New Roman" w:hAnsi="Times New Roman" w:cs="Times New Roman"/>
          <w:b/>
          <w:sz w:val="36"/>
          <w:szCs w:val="36"/>
          <w:lang w:val="en-US" w:eastAsia="zh-CN"/>
        </w:rPr>
        <w:t>拟处置部分资产</w:t>
      </w:r>
      <w:r>
        <w:rPr>
          <w:rFonts w:hint="default" w:ascii="Times New Roman" w:hAnsi="Times New Roman" w:cs="Times New Roman"/>
          <w:b/>
          <w:sz w:val="36"/>
          <w:szCs w:val="36"/>
        </w:rPr>
        <w:t>的公告</w:t>
      </w:r>
    </w:p>
    <w:p>
      <w:pPr>
        <w:snapToGrid w:val="0"/>
        <w:spacing w:before="156" w:beforeLines="50" w:line="360" w:lineRule="auto"/>
        <w:ind w:firstLine="422" w:firstLineChars="200"/>
        <w:rPr>
          <w:rFonts w:hint="default" w:ascii="Times New Roman" w:hAnsi="Times New Roman" w:cs="Times New Roman"/>
          <w:b/>
          <w:szCs w:val="21"/>
        </w:rPr>
      </w:pPr>
      <w:r>
        <w:rPr>
          <w:rFonts w:hint="default" w:ascii="Times New Roman" w:hAnsi="Times New Roman" w:cs="Times New Roman"/>
          <w:b/>
          <w:szCs w:val="21"/>
        </w:rPr>
        <w:t>本公司及董事会全体成员保证信息披露的内容真实、准确、完整，没有虚假记载、误导性陈述或者重大遗漏。</w:t>
      </w:r>
    </w:p>
    <w:p>
      <w:pPr>
        <w:adjustRightInd w:val="0"/>
        <w:snapToGrid w:val="0"/>
        <w:spacing w:line="360" w:lineRule="auto"/>
        <w:ind w:firstLine="482" w:firstLineChars="200"/>
        <w:outlineLvl w:val="0"/>
        <w:rPr>
          <w:rFonts w:hint="default"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一、交易概述</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eastAsia="zh-CN"/>
        </w:rPr>
      </w:pPr>
      <w:r>
        <w:rPr>
          <w:rFonts w:hint="default" w:ascii="Times New Roman" w:hAnsi="Times New Roman" w:cs="Times New Roman"/>
          <w:b w:val="0"/>
          <w:bCs/>
          <w:sz w:val="24"/>
          <w:szCs w:val="24"/>
        </w:rPr>
        <w:t>中广核核技术发展股份有限公司（以下简称“公司”或“中广核技”）于202</w:t>
      </w:r>
      <w:r>
        <w:rPr>
          <w:rFonts w:hint="eastAsia" w:ascii="Times New Roman" w:hAnsi="Times New Roman" w:cs="Times New Roman"/>
          <w:b w:val="0"/>
          <w:bCs/>
          <w:sz w:val="24"/>
          <w:szCs w:val="24"/>
          <w:lang w:val="en-US" w:eastAsia="zh-CN"/>
        </w:rPr>
        <w:t>3</w:t>
      </w:r>
      <w:r>
        <w:rPr>
          <w:rFonts w:hint="default" w:ascii="Times New Roman" w:hAnsi="Times New Roman" w:cs="Times New Roman"/>
          <w:b w:val="0"/>
          <w:bCs/>
          <w:sz w:val="24"/>
          <w:szCs w:val="24"/>
        </w:rPr>
        <w:t>年</w:t>
      </w:r>
      <w:r>
        <w:rPr>
          <w:rFonts w:hint="eastAsia" w:ascii="Times New Roman" w:hAnsi="Times New Roman" w:cs="Times New Roman"/>
          <w:b w:val="0"/>
          <w:bCs/>
          <w:sz w:val="24"/>
          <w:szCs w:val="24"/>
          <w:lang w:val="en-US" w:eastAsia="zh-CN"/>
        </w:rPr>
        <w:t>10</w:t>
      </w:r>
      <w:r>
        <w:rPr>
          <w:rFonts w:hint="default" w:ascii="Times New Roman" w:hAnsi="Times New Roman" w:cs="Times New Roman"/>
          <w:b w:val="0"/>
          <w:bCs/>
          <w:sz w:val="24"/>
          <w:szCs w:val="24"/>
        </w:rPr>
        <w:t>月</w:t>
      </w:r>
      <w:r>
        <w:rPr>
          <w:rFonts w:hint="eastAsia" w:ascii="Times New Roman" w:hAnsi="Times New Roman" w:cs="Times New Roman"/>
          <w:b w:val="0"/>
          <w:bCs/>
          <w:sz w:val="24"/>
          <w:szCs w:val="24"/>
          <w:lang w:val="en-US" w:eastAsia="zh-CN"/>
        </w:rPr>
        <w:t>26</w:t>
      </w:r>
      <w:r>
        <w:rPr>
          <w:rFonts w:hint="default" w:ascii="Times New Roman" w:hAnsi="Times New Roman" w:cs="Times New Roman"/>
          <w:b w:val="0"/>
          <w:bCs/>
          <w:sz w:val="24"/>
          <w:szCs w:val="24"/>
        </w:rPr>
        <w:t>日召开的第</w:t>
      </w:r>
      <w:r>
        <w:rPr>
          <w:rFonts w:hint="eastAsia" w:ascii="Times New Roman" w:hAnsi="Times New Roman" w:cs="Times New Roman"/>
          <w:b w:val="0"/>
          <w:bCs/>
          <w:sz w:val="24"/>
          <w:szCs w:val="24"/>
          <w:lang w:val="en-US" w:eastAsia="zh-CN"/>
        </w:rPr>
        <w:t>十</w:t>
      </w:r>
      <w:r>
        <w:rPr>
          <w:rFonts w:hint="default" w:ascii="Times New Roman" w:hAnsi="Times New Roman" w:cs="Times New Roman"/>
          <w:b w:val="0"/>
          <w:bCs/>
          <w:sz w:val="24"/>
          <w:szCs w:val="24"/>
        </w:rPr>
        <w:t>届董事会第十</w:t>
      </w:r>
      <w:r>
        <w:rPr>
          <w:rFonts w:hint="eastAsia" w:ascii="Times New Roman" w:hAnsi="Times New Roman" w:cs="Times New Roman"/>
          <w:b w:val="0"/>
          <w:bCs/>
          <w:sz w:val="24"/>
          <w:szCs w:val="24"/>
          <w:lang w:val="en-US" w:eastAsia="zh-CN"/>
        </w:rPr>
        <w:t>一</w:t>
      </w:r>
      <w:r>
        <w:rPr>
          <w:rFonts w:hint="default" w:ascii="Times New Roman" w:hAnsi="Times New Roman" w:cs="Times New Roman"/>
          <w:b w:val="0"/>
          <w:bCs/>
          <w:sz w:val="24"/>
          <w:szCs w:val="24"/>
        </w:rPr>
        <w:t>次</w:t>
      </w:r>
      <w:r>
        <w:rPr>
          <w:rFonts w:hint="eastAsia" w:cs="Times New Roman"/>
          <w:b w:val="0"/>
          <w:bCs/>
          <w:sz w:val="24"/>
          <w:szCs w:val="24"/>
          <w:lang w:val="en-US" w:eastAsia="zh-CN"/>
        </w:rPr>
        <w:t>会议</w:t>
      </w:r>
      <w:r>
        <w:rPr>
          <w:rFonts w:hint="default" w:ascii="Times New Roman" w:hAnsi="Times New Roman" w:cs="Times New Roman"/>
          <w:b w:val="0"/>
          <w:bCs/>
          <w:sz w:val="24"/>
          <w:szCs w:val="24"/>
        </w:rPr>
        <w:t>以</w:t>
      </w:r>
      <w:r>
        <w:rPr>
          <w:rFonts w:hint="eastAsia" w:ascii="Times New Roman" w:hAnsi="Times New Roman" w:cs="Times New Roman"/>
          <w:b w:val="0"/>
          <w:bCs/>
          <w:sz w:val="24"/>
          <w:szCs w:val="24"/>
          <w:lang w:val="en-US" w:eastAsia="zh-CN"/>
        </w:rPr>
        <w:t>9</w:t>
      </w:r>
      <w:r>
        <w:rPr>
          <w:rFonts w:hint="default" w:ascii="Times New Roman" w:hAnsi="Times New Roman" w:cs="Times New Roman"/>
          <w:b w:val="0"/>
          <w:bCs/>
          <w:sz w:val="24"/>
          <w:szCs w:val="24"/>
        </w:rPr>
        <w:t>票同意、0票反对、0票弃权、</w:t>
      </w:r>
      <w:r>
        <w:rPr>
          <w:rFonts w:hint="eastAsia" w:ascii="Times New Roman" w:hAnsi="Times New Roman" w:cs="Times New Roman"/>
          <w:b w:val="0"/>
          <w:bCs/>
          <w:sz w:val="24"/>
          <w:szCs w:val="24"/>
          <w:lang w:val="en-US" w:eastAsia="zh-CN"/>
        </w:rPr>
        <w:t>0</w:t>
      </w:r>
      <w:r>
        <w:rPr>
          <w:rFonts w:hint="default" w:ascii="Times New Roman" w:hAnsi="Times New Roman" w:cs="Times New Roman"/>
          <w:b w:val="0"/>
          <w:bCs/>
          <w:sz w:val="24"/>
          <w:szCs w:val="24"/>
        </w:rPr>
        <w:t>票回避的表决结果审议通过了</w:t>
      </w:r>
      <w:r>
        <w:rPr>
          <w:rFonts w:hint="eastAsia" w:ascii="Times New Roman" w:hAnsi="Times New Roman" w:cs="Times New Roman"/>
          <w:b w:val="0"/>
          <w:bCs/>
          <w:sz w:val="24"/>
          <w:szCs w:val="24"/>
          <w:lang w:eastAsia="zh-CN"/>
        </w:rPr>
        <w:t>《</w:t>
      </w:r>
      <w:r>
        <w:rPr>
          <w:rFonts w:hint="default" w:ascii="Times New Roman" w:hAnsi="Times New Roman" w:cs="Times New Roman"/>
          <w:b w:val="0"/>
          <w:bCs/>
          <w:sz w:val="24"/>
          <w:szCs w:val="24"/>
        </w:rPr>
        <w:t>关于处置大连国合嘉汇及沈阳国瑞嘉合两家公司</w:t>
      </w:r>
      <w:r>
        <w:rPr>
          <w:rFonts w:hint="eastAsia" w:ascii="Times New Roman" w:hAnsi="Times New Roman" w:cs="Times New Roman"/>
          <w:b w:val="0"/>
          <w:bCs/>
          <w:sz w:val="24"/>
          <w:szCs w:val="24"/>
          <w:lang w:val="en-US" w:eastAsia="zh-CN"/>
        </w:rPr>
        <w:t>的</w:t>
      </w:r>
      <w:r>
        <w:rPr>
          <w:rFonts w:hint="default" w:ascii="Times New Roman" w:hAnsi="Times New Roman" w:cs="Times New Roman"/>
          <w:b w:val="0"/>
          <w:bCs/>
          <w:sz w:val="24"/>
          <w:szCs w:val="24"/>
        </w:rPr>
        <w:t>议案</w:t>
      </w:r>
      <w:r>
        <w:rPr>
          <w:rFonts w:hint="eastAsia" w:ascii="Times New Roman" w:hAnsi="Times New Roman" w:cs="Times New Roman"/>
          <w:b w:val="0"/>
          <w:bCs/>
          <w:sz w:val="24"/>
          <w:szCs w:val="24"/>
          <w:lang w:eastAsia="zh-CN"/>
        </w:rPr>
        <w:t>》，</w:t>
      </w:r>
      <w:r>
        <w:rPr>
          <w:rFonts w:hint="eastAsia" w:ascii="Times New Roman" w:hAnsi="Times New Roman" w:cs="Times New Roman"/>
          <w:b w:val="0"/>
          <w:bCs/>
          <w:sz w:val="24"/>
          <w:szCs w:val="24"/>
          <w:lang w:val="en-US" w:eastAsia="zh-CN"/>
        </w:rPr>
        <w:t>董事会</w:t>
      </w:r>
      <w:r>
        <w:rPr>
          <w:rFonts w:hint="eastAsia" w:ascii="Times New Roman" w:hAnsi="Times New Roman" w:cs="Times New Roman"/>
          <w:b w:val="0"/>
          <w:bCs/>
          <w:sz w:val="24"/>
          <w:szCs w:val="24"/>
          <w:lang w:eastAsia="zh-CN"/>
        </w:rPr>
        <w:t>同意将中广核技持有的大连国合嘉汇房地产开发有限公司</w:t>
      </w:r>
      <w:r>
        <w:rPr>
          <w:rFonts w:hint="eastAsia" w:cs="Times New Roman"/>
          <w:b w:val="0"/>
          <w:bCs/>
          <w:sz w:val="24"/>
          <w:szCs w:val="24"/>
          <w:lang w:eastAsia="zh-CN"/>
        </w:rPr>
        <w:t>（</w:t>
      </w:r>
      <w:r>
        <w:rPr>
          <w:rFonts w:hint="eastAsia" w:cs="Times New Roman"/>
          <w:b w:val="0"/>
          <w:bCs/>
          <w:sz w:val="24"/>
          <w:szCs w:val="24"/>
          <w:lang w:val="en-US" w:eastAsia="zh-CN"/>
        </w:rPr>
        <w:t>以下简称“国合嘉汇”</w:t>
      </w:r>
      <w:r>
        <w:rPr>
          <w:rFonts w:hint="eastAsia" w:cs="Times New Roman"/>
          <w:b w:val="0"/>
          <w:bCs/>
          <w:sz w:val="24"/>
          <w:szCs w:val="24"/>
          <w:lang w:eastAsia="zh-CN"/>
        </w:rPr>
        <w:t>）</w:t>
      </w:r>
      <w:r>
        <w:rPr>
          <w:rFonts w:hint="eastAsia" w:ascii="Times New Roman" w:hAnsi="Times New Roman" w:cs="Times New Roman"/>
          <w:b w:val="0"/>
          <w:bCs/>
          <w:sz w:val="24"/>
          <w:szCs w:val="24"/>
          <w:lang w:eastAsia="zh-CN"/>
        </w:rPr>
        <w:t>100%股权于产权交易机构公开挂牌转让，挂牌价格不低于2,788.41万元人民币；若首次正式挂牌期满，未征求到合格受让方，则以不低于首次挂牌价格90%的价格再次挂牌披露；若国合嘉汇及</w:t>
      </w:r>
      <w:r>
        <w:rPr>
          <w:rFonts w:hint="eastAsia" w:cs="Times New Roman"/>
          <w:b w:val="0"/>
          <w:bCs/>
          <w:sz w:val="24"/>
          <w:szCs w:val="24"/>
          <w:lang w:val="en-US" w:eastAsia="zh-CN"/>
        </w:rPr>
        <w:t>其全资子公司</w:t>
      </w:r>
      <w:r>
        <w:rPr>
          <w:rFonts w:hint="eastAsia" w:ascii="Times New Roman" w:hAnsi="Times New Roman" w:cs="Times New Roman"/>
          <w:b w:val="0"/>
          <w:bCs/>
          <w:sz w:val="24"/>
          <w:szCs w:val="24"/>
          <w:lang w:eastAsia="zh-CN"/>
        </w:rPr>
        <w:t>沈阳国瑞嘉合房屋开发有限公司（以下简称“国瑞嘉合”）如发生评估值未覆盖的或有支出，以本次交易实际成交金额为限承担赔偿责任。若两次挂牌仍未征集到合格股权受让方，则清算注销（包括自行清算及破产清算）国合嘉汇及国瑞嘉合两家公司。</w:t>
      </w:r>
    </w:p>
    <w:p>
      <w:pPr>
        <w:adjustRightInd w:val="0"/>
        <w:snapToGrid w:val="0"/>
        <w:spacing w:line="360" w:lineRule="auto"/>
        <w:ind w:firstLine="480" w:firstLineChars="200"/>
        <w:outlineLvl w:val="0"/>
        <w:rPr>
          <w:rFonts w:hint="default"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本事项不构成关联交易、不构成《上市公司重大资产重组管理办法》规定的重大资产重组。</w:t>
      </w:r>
      <w:r>
        <w:rPr>
          <w:rFonts w:hint="default" w:ascii="Times New Roman" w:hAnsi="Times New Roman" w:cs="Times New Roman"/>
          <w:b w:val="0"/>
          <w:bCs/>
          <w:sz w:val="24"/>
          <w:szCs w:val="24"/>
        </w:rPr>
        <w:t>本次交易</w:t>
      </w:r>
      <w:r>
        <w:rPr>
          <w:rFonts w:hint="eastAsia" w:ascii="Times New Roman" w:hAnsi="Times New Roman" w:cs="Times New Roman"/>
          <w:b w:val="0"/>
          <w:bCs/>
          <w:sz w:val="24"/>
          <w:szCs w:val="24"/>
          <w:lang w:val="en-US" w:eastAsia="zh-CN"/>
        </w:rPr>
        <w:t>在董事会权限内，无须提</w:t>
      </w:r>
      <w:r>
        <w:rPr>
          <w:rFonts w:hint="eastAsia" w:ascii="Times New Roman" w:hAnsi="Times New Roman" w:cs="Times New Roman"/>
          <w:b w:val="0"/>
          <w:bCs/>
          <w:color w:val="auto"/>
          <w:sz w:val="24"/>
          <w:szCs w:val="24"/>
          <w:lang w:val="en-US" w:eastAsia="zh-CN"/>
        </w:rPr>
        <w:t>交股东大会审议。根据国务院国资委《企业国有资产评估管理暂行办法》</w:t>
      </w:r>
      <w:r>
        <w:rPr>
          <w:rFonts w:hint="eastAsia" w:ascii="Times New Roman" w:hAnsi="Times New Roman" w:cs="Times New Roman"/>
          <w:b w:val="0"/>
          <w:bCs/>
          <w:color w:val="auto"/>
          <w:sz w:val="24"/>
          <w:szCs w:val="24"/>
          <w:highlight w:val="none"/>
          <w:lang w:val="en-US" w:eastAsia="zh-CN"/>
        </w:rPr>
        <w:t>的相关规定，本次评估结果需报公司实际控制人中国广核集团有限公司备案。</w:t>
      </w:r>
    </w:p>
    <w:p>
      <w:pPr>
        <w:adjustRightInd w:val="0"/>
        <w:snapToGrid w:val="0"/>
        <w:spacing w:line="360" w:lineRule="auto"/>
        <w:ind w:firstLine="482" w:firstLineChars="200"/>
        <w:outlineLvl w:val="0"/>
        <w:rPr>
          <w:rFonts w:hint="eastAsia"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二、交易标的基本情况</w:t>
      </w:r>
    </w:p>
    <w:p>
      <w:pPr>
        <w:adjustRightInd w:val="0"/>
        <w:snapToGrid w:val="0"/>
        <w:spacing w:line="360" w:lineRule="auto"/>
        <w:ind w:firstLine="482"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（一）标的公司主要情况</w:t>
      </w:r>
    </w:p>
    <w:tbl>
      <w:tblPr>
        <w:tblStyle w:val="11"/>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90"/>
        <w:gridCol w:w="64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公司名称</w:t>
            </w:r>
          </w:p>
        </w:tc>
        <w:tc>
          <w:tcPr>
            <w:tcW w:w="3773" w:type="pct"/>
            <w:noWrap w:val="0"/>
            <w:vAlign w:val="center"/>
          </w:tcPr>
          <w:p>
            <w:r>
              <w:rPr>
                <w:rFonts w:hint="eastAsia"/>
              </w:rPr>
              <w:t>大连国合嘉汇房地产开发有限公司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rFonts w:hint="eastAsia"/>
                <w:b/>
              </w:rPr>
              <w:t>统一社会信用代码</w:t>
            </w:r>
          </w:p>
        </w:tc>
        <w:tc>
          <w:tcPr>
            <w:tcW w:w="3773" w:type="pct"/>
            <w:noWrap w:val="0"/>
            <w:vAlign w:val="center"/>
          </w:tcPr>
          <w:p>
            <w:r>
              <w:rPr>
                <w:rFonts w:hint="eastAsia"/>
                <w:color w:val="auto"/>
              </w:rPr>
              <w:t>912102007113412744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住所</w:t>
            </w:r>
          </w:p>
        </w:tc>
        <w:tc>
          <w:tcPr>
            <w:tcW w:w="3773" w:type="pct"/>
            <w:noWrap w:val="0"/>
            <w:vAlign w:val="center"/>
          </w:tcPr>
          <w:p>
            <w:r>
              <w:rPr>
                <w:rFonts w:hint="eastAsia"/>
              </w:rPr>
              <w:t>辽宁省大连市西岗区民运街25号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注册资本</w:t>
            </w:r>
          </w:p>
        </w:tc>
        <w:tc>
          <w:tcPr>
            <w:tcW w:w="3773" w:type="pct"/>
            <w:noWrap w:val="0"/>
            <w:vAlign w:val="center"/>
          </w:tcPr>
          <w:p>
            <w:r>
              <w:rPr>
                <w:rFonts w:hint="eastAsia"/>
              </w:rPr>
              <w:t>人民币800万元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color w:val="auto"/>
              </w:rPr>
            </w:pPr>
            <w:r>
              <w:rPr>
                <w:b/>
                <w:color w:val="auto"/>
              </w:rPr>
              <w:t>企业类型</w:t>
            </w:r>
          </w:p>
        </w:tc>
        <w:tc>
          <w:tcPr>
            <w:tcW w:w="3773" w:type="pct"/>
            <w:noWrap w:val="0"/>
            <w:vAlign w:val="center"/>
          </w:tcPr>
          <w:p>
            <w:pPr>
              <w:rPr>
                <w:color w:val="auto"/>
              </w:rPr>
            </w:pPr>
            <w:r>
              <w:rPr>
                <w:rFonts w:hint="eastAsia"/>
                <w:color w:val="auto"/>
              </w:rPr>
              <w:t>有限责任公司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成立日期</w:t>
            </w:r>
          </w:p>
        </w:tc>
        <w:tc>
          <w:tcPr>
            <w:tcW w:w="3773" w:type="pct"/>
            <w:noWrap w:val="0"/>
            <w:vAlign w:val="center"/>
          </w:tcPr>
          <w:p>
            <w:r>
              <w:rPr>
                <w:rFonts w:hint="eastAsia"/>
              </w:rPr>
              <w:t>1998年11月30日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b/>
              </w:rPr>
              <w:t>法定代表人</w:t>
            </w:r>
          </w:p>
        </w:tc>
        <w:tc>
          <w:tcPr>
            <w:tcW w:w="3773" w:type="pct"/>
            <w:noWrap w:val="0"/>
            <w:vAlign w:val="center"/>
          </w:tcPr>
          <w:p>
            <w:pPr>
              <w:rPr>
                <w:rFonts w:hint="default" w:eastAsia="宋体"/>
                <w:lang w:val="en-US" w:eastAsia="zh-CN"/>
              </w:rPr>
            </w:pPr>
            <w:r>
              <w:rPr>
                <w:rFonts w:hint="eastAsia"/>
                <w:lang w:val="en-US" w:eastAsia="zh-CN"/>
              </w:rPr>
              <w:t>盖宝林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6" w:hRule="atLeast"/>
        </w:trPr>
        <w:tc>
          <w:tcPr>
            <w:tcW w:w="1226" w:type="pct"/>
            <w:noWrap w:val="0"/>
            <w:vAlign w:val="center"/>
          </w:tcPr>
          <w:p>
            <w:pPr>
              <w:rPr>
                <w:b/>
              </w:rPr>
            </w:pPr>
            <w:r>
              <w:rPr>
                <w:b/>
              </w:rPr>
              <w:t>经营范围</w:t>
            </w:r>
          </w:p>
        </w:tc>
        <w:tc>
          <w:tcPr>
            <w:tcW w:w="3773" w:type="pct"/>
            <w:noWrap w:val="0"/>
            <w:vAlign w:val="center"/>
          </w:tcPr>
          <w:p>
            <w:r>
              <w:rPr>
                <w:rFonts w:hint="eastAsia"/>
              </w:rPr>
              <w:t>房地产开发及销售（凭资质证经营）；房屋出租；物业管理。（依法须经批准的项目，经相关部门批准后方可开展经营活动。）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 w:hRule="atLeast"/>
        </w:trPr>
        <w:tc>
          <w:tcPr>
            <w:tcW w:w="1226" w:type="pct"/>
            <w:noWrap w:val="0"/>
            <w:vAlign w:val="center"/>
          </w:tcPr>
          <w:p>
            <w:pPr>
              <w:rPr>
                <w:rFonts w:hint="default" w:eastAsia="宋体"/>
                <w:b/>
                <w:lang w:val="en-US" w:eastAsia="zh-CN"/>
              </w:rPr>
            </w:pPr>
            <w:r>
              <w:rPr>
                <w:rFonts w:hint="eastAsia"/>
                <w:b/>
                <w:lang w:val="en-US" w:eastAsia="zh-CN"/>
              </w:rPr>
              <w:t>股东</w:t>
            </w:r>
          </w:p>
        </w:tc>
        <w:tc>
          <w:tcPr>
            <w:tcW w:w="3773" w:type="pct"/>
            <w:noWrap w:val="0"/>
            <w:vAlign w:val="center"/>
          </w:tcPr>
          <w:p>
            <w:pPr>
              <w:rPr>
                <w:rFonts w:hint="default" w:eastAsia="宋体"/>
                <w:lang w:val="en-US" w:eastAsia="zh-CN"/>
              </w:rPr>
            </w:pPr>
            <w:r>
              <w:rPr>
                <w:rFonts w:hint="eastAsia"/>
                <w:color w:val="auto"/>
                <w:lang w:val="en-US" w:eastAsia="zh-CN"/>
              </w:rPr>
              <w:t>公司持有国合嘉汇100%股权，国合嘉汇持有国瑞嘉合100%股权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26" w:type="pct"/>
            <w:noWrap w:val="0"/>
            <w:vAlign w:val="center"/>
          </w:tcPr>
          <w:p>
            <w:pPr>
              <w:rPr>
                <w:b/>
              </w:rPr>
            </w:pPr>
            <w:r>
              <w:rPr>
                <w:rFonts w:hint="eastAsia"/>
                <w:b/>
              </w:rPr>
              <w:t>是否失信责任主体</w:t>
            </w:r>
          </w:p>
        </w:tc>
        <w:tc>
          <w:tcPr>
            <w:tcW w:w="3773" w:type="pct"/>
            <w:noWrap w:val="0"/>
            <w:vAlign w:val="center"/>
          </w:tcPr>
          <w:p>
            <w:pPr>
              <w:rPr>
                <w:rFonts w:hint="eastAsia" w:eastAsia="宋体"/>
                <w:lang w:val="en-US" w:eastAsia="zh-CN"/>
              </w:rPr>
            </w:pPr>
            <w:r>
              <w:rPr>
                <w:rFonts w:hint="eastAsia"/>
                <w:lang w:val="en-US" w:eastAsia="zh-CN"/>
              </w:rPr>
              <w:t>否</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国合嘉汇100%股权不存在抵押、质押或者其他第三人权利、不存在涉及国合嘉汇100%股</w:t>
      </w:r>
      <w:r>
        <w:rPr>
          <w:rFonts w:hint="eastAsia" w:ascii="Times New Roman" w:hAnsi="Times New Roman" w:cs="Times New Roman"/>
          <w:b w:val="0"/>
          <w:bCs/>
          <w:color w:val="auto"/>
          <w:sz w:val="24"/>
          <w:szCs w:val="24"/>
          <w:lang w:val="en-US" w:eastAsia="zh-CN"/>
        </w:rPr>
        <w:t>权的重大争议、</w:t>
      </w:r>
      <w:r>
        <w:rPr>
          <w:rFonts w:hint="eastAsia" w:ascii="Times New Roman" w:hAnsi="Times New Roman" w:cs="Times New Roman"/>
          <w:b w:val="0"/>
          <w:bCs/>
          <w:sz w:val="24"/>
          <w:szCs w:val="24"/>
          <w:lang w:val="en-US" w:eastAsia="zh-CN"/>
        </w:rPr>
        <w:t>诉讼或仲裁事项、不存在查封、冻结等司法措施。</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outlineLvl w:val="0"/>
        <w:rPr>
          <w:rFonts w:hint="eastAsia" w:ascii="Times New Roman" w:hAnsi="Times New Roman" w:cs="Times New Roman"/>
          <w:b/>
          <w:bCs w:val="0"/>
          <w:sz w:val="24"/>
          <w:szCs w:val="24"/>
          <w:highlight w:val="none"/>
          <w:lang w:val="en-US" w:eastAsia="zh-CN"/>
        </w:rPr>
      </w:pPr>
      <w:r>
        <w:rPr>
          <w:rFonts w:hint="eastAsia" w:ascii="Times New Roman" w:hAnsi="Times New Roman" w:cs="Times New Roman"/>
          <w:b w:val="0"/>
          <w:bCs/>
          <w:color w:val="auto"/>
          <w:sz w:val="24"/>
          <w:szCs w:val="24"/>
          <w:highlight w:val="none"/>
          <w:lang w:val="en-US" w:eastAsia="zh-CN"/>
        </w:rPr>
        <w:t>截至公告日，公司应</w:t>
      </w:r>
      <w:r>
        <w:rPr>
          <w:rFonts w:hint="eastAsia" w:ascii="Times New Roman" w:hAnsi="Times New Roman" w:cs="Times New Roman"/>
          <w:b w:val="0"/>
          <w:bCs/>
          <w:sz w:val="24"/>
          <w:szCs w:val="24"/>
          <w:highlight w:val="none"/>
          <w:lang w:val="en-US" w:eastAsia="zh-CN"/>
        </w:rPr>
        <w:t>付国合嘉汇5,385万元，国合嘉汇存在应还中广核技控股子公司大连国合汇邦房地产投资管理有限公司（以下简称“汇邦投资”）往来款325万元，目前汇邦投资已由大连市西岗区人民法院指定破产管理人接管。除上述事项外，本次交易完成后，公司不存在为出售股权的标的公司提供担保、财务资助、委托该标的公司理财，以及其他该标的公司占用公司资金的情况。亦不存在以经营性资金往来的形式变相为他人提供财务资助情形。</w:t>
      </w:r>
    </w:p>
    <w:p>
      <w:pPr>
        <w:numPr>
          <w:ilvl w:val="0"/>
          <w:numId w:val="2"/>
        </w:numPr>
        <w:adjustRightInd w:val="0"/>
        <w:snapToGrid w:val="0"/>
        <w:spacing w:line="360" w:lineRule="auto"/>
        <w:ind w:firstLine="482" w:firstLineChars="200"/>
        <w:outlineLvl w:val="0"/>
        <w:rPr>
          <w:rFonts w:hint="eastAsia" w:ascii="Times New Roman" w:hAnsi="Times New Roman" w:cs="Times New Roman"/>
          <w:b/>
          <w:bCs w:val="0"/>
          <w:sz w:val="24"/>
          <w:szCs w:val="24"/>
          <w:highlight w:val="none"/>
          <w:lang w:val="en-US" w:eastAsia="zh-CN"/>
        </w:rPr>
      </w:pPr>
      <w:r>
        <w:rPr>
          <w:rFonts w:hint="eastAsia" w:ascii="Times New Roman" w:hAnsi="Times New Roman" w:cs="Times New Roman"/>
          <w:b/>
          <w:bCs w:val="0"/>
          <w:sz w:val="24"/>
          <w:szCs w:val="24"/>
          <w:highlight w:val="none"/>
          <w:lang w:val="en-US" w:eastAsia="zh-CN"/>
        </w:rPr>
        <w:t>国合嘉汇主要财务数据（合并报表）</w:t>
      </w:r>
    </w:p>
    <w:p>
      <w:pPr>
        <w:numPr>
          <w:ilvl w:val="0"/>
          <w:numId w:val="0"/>
        </w:numPr>
        <w:adjustRightInd w:val="0"/>
        <w:snapToGrid w:val="0"/>
        <w:spacing w:line="360" w:lineRule="auto"/>
        <w:jc w:val="right"/>
        <w:outlineLvl w:val="0"/>
        <w:rPr>
          <w:rFonts w:hint="default" w:ascii="Times New Roman" w:hAnsi="Times New Roman" w:cs="Times New Roman"/>
          <w:b/>
          <w:bCs w:val="0"/>
          <w:sz w:val="15"/>
          <w:szCs w:val="15"/>
          <w:lang w:val="en-US" w:eastAsia="zh-CN"/>
        </w:rPr>
      </w:pPr>
      <w:r>
        <w:rPr>
          <w:rFonts w:hint="eastAsia" w:ascii="Times New Roman" w:hAnsi="Times New Roman" w:cs="Times New Roman"/>
          <w:b/>
          <w:bCs w:val="0"/>
          <w:sz w:val="15"/>
          <w:szCs w:val="15"/>
          <w:lang w:val="en-US" w:eastAsia="zh-CN"/>
        </w:rPr>
        <w:t>单位：万元</w:t>
      </w:r>
    </w:p>
    <w:tbl>
      <w:tblPr>
        <w:tblStyle w:val="11"/>
        <w:tblW w:w="853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3"/>
        <w:gridCol w:w="2933"/>
        <w:gridCol w:w="32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2323" w:type="dxa"/>
            <w:shd w:val="clear" w:color="auto" w:fill="D7D7D7"/>
            <w:noWrap/>
            <w:vAlign w:val="center"/>
          </w:tcPr>
          <w:p>
            <w:pPr>
              <w:widowControl/>
              <w:jc w:val="center"/>
              <w:rPr>
                <w:b/>
                <w:bCs/>
                <w:kern w:val="0"/>
                <w:szCs w:val="21"/>
              </w:rPr>
            </w:pPr>
            <w:r>
              <w:rPr>
                <w:b/>
                <w:bCs/>
                <w:kern w:val="0"/>
                <w:szCs w:val="21"/>
              </w:rPr>
              <w:t>财务指标</w:t>
            </w:r>
          </w:p>
        </w:tc>
        <w:tc>
          <w:tcPr>
            <w:tcW w:w="2933" w:type="dxa"/>
            <w:shd w:val="clear" w:color="auto" w:fill="D7D7D7"/>
            <w:noWrap/>
            <w:vAlign w:val="center"/>
          </w:tcPr>
          <w:p>
            <w:pPr>
              <w:widowControl/>
              <w:jc w:val="center"/>
              <w:rPr>
                <w:b/>
                <w:bCs/>
                <w:kern w:val="0"/>
                <w:szCs w:val="21"/>
              </w:rPr>
            </w:pPr>
            <w:r>
              <w:rPr>
                <w:b/>
                <w:bCs/>
                <w:kern w:val="0"/>
                <w:szCs w:val="21"/>
              </w:rPr>
              <w:t>2022年12月31日</w:t>
            </w:r>
            <w:r>
              <w:rPr>
                <w:rFonts w:hint="eastAsia"/>
                <w:b/>
                <w:bCs/>
                <w:kern w:val="0"/>
                <w:szCs w:val="21"/>
                <w:lang w:val="en-US" w:eastAsia="zh-CN"/>
              </w:rPr>
              <w:t>/2022年度</w:t>
            </w:r>
            <w:r>
              <w:rPr>
                <w:b/>
                <w:bCs/>
                <w:kern w:val="0"/>
                <w:szCs w:val="21"/>
              </w:rPr>
              <w:t>（经审计）</w:t>
            </w:r>
          </w:p>
        </w:tc>
        <w:tc>
          <w:tcPr>
            <w:tcW w:w="3280" w:type="dxa"/>
            <w:shd w:val="clear" w:color="auto" w:fill="D7D7D7"/>
            <w:noWrap/>
            <w:vAlign w:val="center"/>
          </w:tcPr>
          <w:p>
            <w:pPr>
              <w:widowControl/>
              <w:jc w:val="center"/>
              <w:rPr>
                <w:b/>
                <w:bCs/>
                <w:kern w:val="0"/>
                <w:szCs w:val="21"/>
              </w:rPr>
            </w:pPr>
            <w:r>
              <w:rPr>
                <w:b/>
                <w:bCs/>
                <w:kern w:val="0"/>
                <w:szCs w:val="21"/>
              </w:rPr>
              <w:t>2023年</w:t>
            </w:r>
            <w:r>
              <w:rPr>
                <w:rFonts w:hint="eastAsia"/>
                <w:b/>
                <w:bCs/>
                <w:kern w:val="0"/>
                <w:szCs w:val="21"/>
                <w:lang w:val="en-US" w:eastAsia="zh-CN"/>
              </w:rPr>
              <w:t>9</w:t>
            </w:r>
            <w:r>
              <w:rPr>
                <w:b/>
                <w:bCs/>
                <w:kern w:val="0"/>
                <w:szCs w:val="21"/>
              </w:rPr>
              <w:t>月30日</w:t>
            </w:r>
            <w:r>
              <w:rPr>
                <w:rFonts w:hint="eastAsia"/>
                <w:b/>
                <w:bCs/>
                <w:kern w:val="0"/>
                <w:szCs w:val="21"/>
                <w:lang w:val="en-US" w:eastAsia="zh-CN"/>
              </w:rPr>
              <w:t>/2023年1-9月</w:t>
            </w:r>
            <w:bookmarkStart w:id="0" w:name="_GoBack"/>
            <w:bookmarkEnd w:id="0"/>
            <w:r>
              <w:rPr>
                <w:b/>
                <w:bCs/>
                <w:kern w:val="0"/>
                <w:szCs w:val="21"/>
              </w:rPr>
              <w:t>（未经审计）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资产总额</w:t>
            </w:r>
          </w:p>
        </w:tc>
        <w:tc>
          <w:tcPr>
            <w:tcW w:w="2933"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8,061.44 </w:t>
            </w:r>
          </w:p>
        </w:tc>
        <w:tc>
          <w:tcPr>
            <w:tcW w:w="3280"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4,807.14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负债总额</w:t>
            </w:r>
          </w:p>
        </w:tc>
        <w:tc>
          <w:tcPr>
            <w:tcW w:w="2933"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4,062.98 </w:t>
            </w:r>
          </w:p>
        </w:tc>
        <w:tc>
          <w:tcPr>
            <w:tcW w:w="3280"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2,307.80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净资产</w:t>
            </w:r>
          </w:p>
        </w:tc>
        <w:tc>
          <w:tcPr>
            <w:tcW w:w="2933"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3,998.46 </w:t>
            </w:r>
          </w:p>
        </w:tc>
        <w:tc>
          <w:tcPr>
            <w:tcW w:w="3280"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2,499.34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应收款项总额</w:t>
            </w:r>
          </w:p>
        </w:tc>
        <w:tc>
          <w:tcPr>
            <w:tcW w:w="2933"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 </w:t>
            </w:r>
          </w:p>
        </w:tc>
        <w:tc>
          <w:tcPr>
            <w:tcW w:w="3280"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或有事项涉及的总额</w:t>
            </w:r>
          </w:p>
        </w:tc>
        <w:tc>
          <w:tcPr>
            <w:tcW w:w="2933"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 </w:t>
            </w:r>
          </w:p>
        </w:tc>
        <w:tc>
          <w:tcPr>
            <w:tcW w:w="3280"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营业收入</w:t>
            </w:r>
          </w:p>
        </w:tc>
        <w:tc>
          <w:tcPr>
            <w:tcW w:w="2933"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 </w:t>
            </w:r>
          </w:p>
        </w:tc>
        <w:tc>
          <w:tcPr>
            <w:tcW w:w="3280"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0.00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323" w:type="dxa"/>
            <w:noWrap/>
            <w:vAlign w:val="center"/>
          </w:tcPr>
          <w:p>
            <w:pPr>
              <w:widowControl/>
              <w:jc w:val="left"/>
              <w:rPr>
                <w:kern w:val="0"/>
                <w:szCs w:val="21"/>
              </w:rPr>
            </w:pPr>
            <w:r>
              <w:rPr>
                <w:kern w:val="0"/>
                <w:szCs w:val="21"/>
              </w:rPr>
              <w:t>营业利润</w:t>
            </w:r>
          </w:p>
        </w:tc>
        <w:tc>
          <w:tcPr>
            <w:tcW w:w="2933"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-550.36 </w:t>
            </w:r>
          </w:p>
        </w:tc>
        <w:tc>
          <w:tcPr>
            <w:tcW w:w="3280"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-487.77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净利润</w:t>
            </w:r>
          </w:p>
        </w:tc>
        <w:tc>
          <w:tcPr>
            <w:tcW w:w="2933"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-550.36 </w:t>
            </w:r>
          </w:p>
        </w:tc>
        <w:tc>
          <w:tcPr>
            <w:tcW w:w="3280"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-487.77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3" w:type="dxa"/>
            <w:noWrap/>
            <w:vAlign w:val="center"/>
          </w:tcPr>
          <w:p>
            <w:pPr>
              <w:widowControl/>
              <w:jc w:val="left"/>
              <w:rPr>
                <w:kern w:val="0"/>
                <w:szCs w:val="21"/>
              </w:rPr>
            </w:pPr>
            <w:r>
              <w:rPr>
                <w:kern w:val="0"/>
                <w:szCs w:val="21"/>
              </w:rPr>
              <w:t>经营活动产生的现金流量净额</w:t>
            </w:r>
          </w:p>
        </w:tc>
        <w:tc>
          <w:tcPr>
            <w:tcW w:w="2933"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398.63 </w:t>
            </w:r>
          </w:p>
        </w:tc>
        <w:tc>
          <w:tcPr>
            <w:tcW w:w="3280" w:type="dxa"/>
            <w:noWrap/>
            <w:vAlign w:val="center"/>
          </w:tcPr>
          <w:p>
            <w:pPr>
              <w:keepNext w:val="0"/>
              <w:keepLines w:val="0"/>
              <w:widowControl/>
              <w:suppressLineNumbers w:val="0"/>
              <w:jc w:val="right"/>
              <w:textAlignment w:val="center"/>
              <w:rPr>
                <w:rFonts w:hint="default" w:ascii="Times New Roman" w:hAnsi="Times New Roman" w:cs="Times New Roman"/>
                <w:kern w:val="0"/>
                <w:sz w:val="21"/>
                <w:szCs w:val="21"/>
              </w:rPr>
            </w:pPr>
            <w:r>
              <w:rPr>
                <w:rFonts w:hint="default" w:ascii="Times New Roman" w:hAnsi="Times New Roman" w:eastAsia="宋体" w:cs="Times New Roman"/>
                <w:i w:val="0"/>
                <w:iCs w:val="0"/>
                <w:color w:val="000000"/>
                <w:kern w:val="0"/>
                <w:sz w:val="21"/>
                <w:szCs w:val="21"/>
                <w:u w:val="none"/>
                <w:lang w:val="en-US" w:eastAsia="zh-CN" w:bidi="ar"/>
              </w:rPr>
              <w:t xml:space="preserve">-400.09 </w:t>
            </w:r>
          </w:p>
        </w:tc>
      </w:tr>
    </w:tbl>
    <w:p>
      <w:pPr>
        <w:adjustRightInd w:val="0"/>
        <w:snapToGrid w:val="0"/>
        <w:spacing w:line="360" w:lineRule="auto"/>
        <w:ind w:firstLine="482" w:firstLineChars="200"/>
        <w:outlineLvl w:val="0"/>
        <w:rPr>
          <w:rFonts w:hint="default" w:ascii="Times New Roman" w:hAnsi="Times New Roman" w:cs="Times New Roman"/>
          <w:b/>
          <w:bCs w:val="0"/>
          <w:sz w:val="24"/>
          <w:szCs w:val="24"/>
          <w:lang w:val="en-US" w:eastAsia="zh-CN"/>
        </w:rPr>
      </w:pPr>
      <w:r>
        <w:rPr>
          <w:rFonts w:hint="eastAsia" w:ascii="Times New Roman" w:hAnsi="Times New Roman" w:cs="Times New Roman"/>
          <w:b/>
          <w:bCs w:val="0"/>
          <w:sz w:val="24"/>
          <w:szCs w:val="24"/>
          <w:lang w:val="en-US" w:eastAsia="zh-CN"/>
        </w:rPr>
        <w:t>（三）评估情况</w:t>
      </w:r>
    </w:p>
    <w:p>
      <w:pPr>
        <w:adjustRightInd w:val="0"/>
        <w:snapToGrid w:val="0"/>
        <w:spacing w:line="360" w:lineRule="auto"/>
        <w:ind w:firstLine="480" w:firstLineChars="200"/>
        <w:outlineLvl w:val="0"/>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根据北京中企华资产评估有限责任公司出具的评估报告，采用资产基础法于评估基准日2023年5月31日，大连国合嘉汇房地产开发有限公司评估基准日总资产账面价值为5,963.36万元，评估价值为7,130.41万元，增值额为1,167.05万元，增值率为19.57%；总负债账面价值为4,342.00万元，评估价值为4,342.00万元，无增减值变化；净资产账面价值为1,621.36万元，净资产评估价值为 2,788.41万元，增值额为1,167.05万元，增值率为71.98%。</w:t>
      </w:r>
    </w:p>
    <w:p>
      <w:pPr>
        <w:adjustRightInd w:val="0"/>
        <w:snapToGrid w:val="0"/>
        <w:spacing w:line="360" w:lineRule="auto"/>
        <w:ind w:firstLine="482" w:firstLineChars="200"/>
        <w:outlineLvl w:val="0"/>
        <w:rPr>
          <w:rFonts w:hint="eastAsia"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三、处置资产的目的和对公司的影响</w:t>
      </w:r>
    </w:p>
    <w:p>
      <w:pPr>
        <w:adjustRightInd w:val="0"/>
        <w:snapToGrid w:val="0"/>
        <w:spacing w:line="360" w:lineRule="auto"/>
        <w:ind w:firstLine="480" w:firstLineChars="200"/>
        <w:outlineLvl w:val="0"/>
        <w:rPr>
          <w:rFonts w:hint="eastAsia" w:ascii="Times New Roman" w:hAnsi="Times New Roman" w:cs="Times New Roman"/>
          <w:b/>
          <w:bCs w:val="0"/>
          <w:sz w:val="24"/>
          <w:szCs w:val="24"/>
          <w:highlight w:val="none"/>
          <w:lang w:val="en-US" w:eastAsia="zh-CN"/>
        </w:rPr>
      </w:pPr>
      <w:r>
        <w:rPr>
          <w:rFonts w:hint="eastAsia" w:ascii="Times New Roman" w:hAnsi="Times New Roman" w:cs="Times New Roman"/>
          <w:b w:val="0"/>
          <w:bCs/>
          <w:sz w:val="24"/>
          <w:szCs w:val="24"/>
          <w:lang w:val="en-US" w:eastAsia="zh-CN"/>
        </w:rPr>
        <w:t>为进一步</w:t>
      </w:r>
      <w:r>
        <w:rPr>
          <w:rFonts w:hint="default" w:ascii="Times New Roman" w:hAnsi="Times New Roman" w:cs="Times New Roman"/>
          <w:b w:val="0"/>
          <w:bCs/>
          <w:sz w:val="24"/>
          <w:szCs w:val="24"/>
        </w:rPr>
        <w:t>聚焦非动力核技术应用主业</w:t>
      </w:r>
      <w:r>
        <w:rPr>
          <w:rFonts w:hint="eastAsia" w:ascii="Times New Roman" w:hAnsi="Times New Roman" w:cs="Times New Roman"/>
          <w:b w:val="0"/>
          <w:bCs/>
          <w:sz w:val="24"/>
          <w:szCs w:val="24"/>
          <w:lang w:eastAsia="zh-CN"/>
        </w:rPr>
        <w:t>，</w:t>
      </w:r>
      <w:r>
        <w:rPr>
          <w:rFonts w:hint="eastAsia" w:ascii="Times New Roman" w:hAnsi="Times New Roman" w:cs="Times New Roman"/>
          <w:b w:val="0"/>
          <w:bCs/>
          <w:sz w:val="24"/>
          <w:szCs w:val="24"/>
          <w:lang w:val="en-US" w:eastAsia="zh-CN"/>
        </w:rPr>
        <w:t>公司拟处置国合嘉汇100%股权</w:t>
      </w:r>
      <w:r>
        <w:rPr>
          <w:rFonts w:hint="eastAsia" w:cs="Times New Roman"/>
          <w:b w:val="0"/>
          <w:bCs/>
          <w:sz w:val="24"/>
          <w:szCs w:val="24"/>
          <w:lang w:val="en-US" w:eastAsia="zh-CN"/>
        </w:rPr>
        <w:t>及其子公司</w:t>
      </w:r>
      <w:r>
        <w:rPr>
          <w:rFonts w:hint="eastAsia" w:ascii="Times New Roman" w:hAnsi="Times New Roman" w:cs="Times New Roman"/>
          <w:b w:val="0"/>
          <w:bCs/>
          <w:sz w:val="24"/>
          <w:szCs w:val="24"/>
          <w:lang w:val="en-US" w:eastAsia="zh-CN"/>
        </w:rPr>
        <w:t>。以挂牌价格出售且不发生国合嘉汇及国瑞嘉合评估值未覆盖的或有支出，预计挂牌转让对归属于上市公司股东的净利润的影响约为-30万元。</w:t>
      </w:r>
      <w:r>
        <w:rPr>
          <w:rFonts w:hint="eastAsia" w:ascii="Times New Roman" w:hAnsi="Times New Roman" w:cs="Times New Roman"/>
          <w:b w:val="0"/>
          <w:bCs/>
          <w:sz w:val="24"/>
          <w:szCs w:val="24"/>
          <w:highlight w:val="none"/>
          <w:lang w:val="en-US" w:eastAsia="zh-CN"/>
        </w:rPr>
        <w:t>如未征求到合格受让方，公司对国合嘉汇及其子公司进行自行清算，由于国合嘉汇经营时间较长，清算流程复杂，包括需支付清算费用、职工工资、社会保险费用和法定补偿金，缴纳税款等，清算过程中可能存在费用的进一步支出或涉及诉讼、仲裁事项的风险，自行清算对上市公司损益的影响暂无法准确预估；如自行清算过程中发生资不抵债的情况，公司将向法院申请破产清算，</w:t>
      </w:r>
      <w:r>
        <w:rPr>
          <w:rFonts w:hint="eastAsia" w:ascii="Times New Roman" w:hAnsi="Times New Roman" w:cs="Times New Roman"/>
          <w:b w:val="0"/>
          <w:bCs/>
          <w:sz w:val="24"/>
          <w:szCs w:val="24"/>
          <w:lang w:val="en-US" w:eastAsia="zh-CN"/>
        </w:rPr>
        <w:t>破产清算对归属于上市公司股东的净利润的影响金额约-2,800万元。以上数据未经审计，本次交易对公司的最终影响金额以年度会计师审计报告为准。</w:t>
      </w:r>
      <w:r>
        <w:rPr>
          <w:rFonts w:hint="eastAsia" w:ascii="Times New Roman" w:hAnsi="Times New Roman" w:cs="Times New Roman"/>
          <w:b w:val="0"/>
          <w:bCs/>
          <w:sz w:val="24"/>
          <w:szCs w:val="24"/>
          <w:highlight w:val="none"/>
          <w:lang w:val="en-US" w:eastAsia="zh-CN"/>
        </w:rPr>
        <w:t>公司将根据进展情况及时履行信息披露义务。</w:t>
      </w:r>
    </w:p>
    <w:p>
      <w:pPr>
        <w:adjustRightInd w:val="0"/>
        <w:snapToGrid w:val="0"/>
        <w:spacing w:line="360" w:lineRule="auto"/>
        <w:ind w:firstLine="482" w:firstLineChars="200"/>
        <w:outlineLvl w:val="0"/>
        <w:rPr>
          <w:rFonts w:hint="default" w:ascii="Times New Roman" w:hAnsi="Times New Roman" w:cs="Times New Roman"/>
          <w:b/>
          <w:bCs w:val="0"/>
          <w:sz w:val="24"/>
          <w:szCs w:val="24"/>
          <w:highlight w:val="none"/>
          <w:lang w:val="en-US" w:eastAsia="zh-CN"/>
        </w:rPr>
      </w:pPr>
      <w:r>
        <w:rPr>
          <w:rFonts w:hint="eastAsia" w:ascii="Times New Roman" w:hAnsi="Times New Roman" w:cs="Times New Roman"/>
          <w:b/>
          <w:bCs w:val="0"/>
          <w:sz w:val="24"/>
          <w:szCs w:val="24"/>
          <w:highlight w:val="none"/>
          <w:lang w:val="en-US" w:eastAsia="zh-CN"/>
        </w:rPr>
        <w:t>四、备查文件</w:t>
      </w:r>
    </w:p>
    <w:p>
      <w:pPr>
        <w:adjustRightInd w:val="0"/>
        <w:snapToGrid w:val="0"/>
        <w:spacing w:line="360" w:lineRule="auto"/>
        <w:ind w:firstLine="480" w:firstLineChars="200"/>
        <w:outlineLvl w:val="0"/>
        <w:rPr>
          <w:rFonts w:hint="eastAsia" w:ascii="Times New Roman" w:hAnsi="Times New Roman" w:cs="Times New Roman"/>
          <w:b w:val="0"/>
          <w:bCs/>
          <w:sz w:val="24"/>
          <w:szCs w:val="24"/>
          <w:highlight w:val="none"/>
          <w:lang w:val="en-US" w:eastAsia="zh-CN"/>
        </w:rPr>
      </w:pPr>
      <w:r>
        <w:rPr>
          <w:rFonts w:hint="eastAsia" w:ascii="Times New Roman" w:hAnsi="Times New Roman" w:cs="Times New Roman"/>
          <w:b w:val="0"/>
          <w:bCs/>
          <w:sz w:val="24"/>
          <w:szCs w:val="24"/>
          <w:highlight w:val="none"/>
          <w:lang w:val="en-US" w:eastAsia="zh-CN"/>
        </w:rPr>
        <w:t>1、董事会决议；</w:t>
      </w:r>
    </w:p>
    <w:p>
      <w:pPr>
        <w:adjustRightInd w:val="0"/>
        <w:snapToGrid w:val="0"/>
        <w:spacing w:line="360" w:lineRule="auto"/>
        <w:ind w:firstLine="480" w:firstLineChars="200"/>
        <w:outlineLvl w:val="0"/>
        <w:rPr>
          <w:rFonts w:hint="eastAsia" w:ascii="Times New Roman" w:hAnsi="Times New Roman" w:cs="Times New Roman"/>
          <w:b w:val="0"/>
          <w:bCs/>
          <w:sz w:val="24"/>
          <w:szCs w:val="24"/>
          <w:highlight w:val="none"/>
          <w:lang w:val="en-US" w:eastAsia="zh-CN"/>
        </w:rPr>
      </w:pPr>
      <w:r>
        <w:rPr>
          <w:rFonts w:hint="eastAsia" w:ascii="Times New Roman" w:hAnsi="Times New Roman" w:cs="Times New Roman"/>
          <w:b w:val="0"/>
          <w:bCs/>
          <w:sz w:val="24"/>
          <w:szCs w:val="24"/>
          <w:highlight w:val="none"/>
          <w:lang w:val="en-US" w:eastAsia="zh-CN"/>
        </w:rPr>
        <w:t>2、审计报告；</w:t>
      </w:r>
    </w:p>
    <w:p>
      <w:pPr>
        <w:adjustRightInd w:val="0"/>
        <w:snapToGrid w:val="0"/>
        <w:spacing w:line="360" w:lineRule="auto"/>
        <w:ind w:firstLine="480" w:firstLineChars="200"/>
        <w:outlineLvl w:val="0"/>
        <w:rPr>
          <w:rFonts w:hint="eastAsia" w:ascii="Times New Roman" w:hAnsi="Times New Roman" w:cs="Times New Roman"/>
          <w:b w:val="0"/>
          <w:bCs/>
          <w:sz w:val="24"/>
          <w:szCs w:val="24"/>
          <w:highlight w:val="none"/>
          <w:lang w:val="en-US" w:eastAsia="zh-CN"/>
        </w:rPr>
      </w:pPr>
      <w:r>
        <w:rPr>
          <w:rFonts w:hint="eastAsia" w:ascii="Times New Roman" w:hAnsi="Times New Roman" w:cs="Times New Roman"/>
          <w:b w:val="0"/>
          <w:bCs/>
          <w:sz w:val="24"/>
          <w:szCs w:val="24"/>
          <w:highlight w:val="none"/>
          <w:lang w:val="en-US" w:eastAsia="zh-CN"/>
        </w:rPr>
        <w:t>3、评估报告；</w:t>
      </w:r>
    </w:p>
    <w:p>
      <w:pPr>
        <w:adjustRightInd w:val="0"/>
        <w:snapToGrid w:val="0"/>
        <w:spacing w:line="360" w:lineRule="auto"/>
        <w:ind w:firstLine="480" w:firstLineChars="200"/>
        <w:outlineLvl w:val="0"/>
        <w:rPr>
          <w:rFonts w:hint="eastAsia" w:ascii="Times New Roman" w:hAnsi="Times New Roman" w:cs="Times New Roman"/>
          <w:b w:val="0"/>
          <w:bCs/>
          <w:sz w:val="24"/>
          <w:szCs w:val="24"/>
          <w:highlight w:val="none"/>
          <w:lang w:val="en-US" w:eastAsia="zh-CN"/>
        </w:rPr>
      </w:pPr>
      <w:r>
        <w:rPr>
          <w:rFonts w:hint="eastAsia" w:ascii="Times New Roman" w:hAnsi="Times New Roman" w:cs="Times New Roman"/>
          <w:b w:val="0"/>
          <w:bCs/>
          <w:sz w:val="24"/>
          <w:szCs w:val="24"/>
          <w:highlight w:val="none"/>
          <w:lang w:val="en-US" w:eastAsia="zh-CN"/>
        </w:rPr>
        <w:t>4、上市公司交易情况概述表。</w:t>
      </w:r>
    </w:p>
    <w:p>
      <w:pPr>
        <w:snapToGrid w:val="0"/>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特此公告。</w:t>
      </w:r>
    </w:p>
    <w:p>
      <w:pPr>
        <w:snapToGrid w:val="0"/>
        <w:spacing w:line="360" w:lineRule="auto"/>
        <w:ind w:firstLine="482" w:firstLineChars="200"/>
        <w:jc w:val="right"/>
        <w:rPr>
          <w:rFonts w:hint="default" w:ascii="Times New Roman" w:hAnsi="Times New Roman" w:cs="Times New Roman"/>
          <w:b/>
          <w:sz w:val="24"/>
          <w:szCs w:val="24"/>
        </w:rPr>
      </w:pPr>
    </w:p>
    <w:p>
      <w:pPr>
        <w:snapToGrid w:val="0"/>
        <w:spacing w:line="360" w:lineRule="auto"/>
        <w:ind w:firstLine="482" w:firstLineChars="200"/>
        <w:jc w:val="right"/>
        <w:rPr>
          <w:rFonts w:hint="default" w:ascii="Times New Roman" w:hAnsi="Times New Roman" w:cs="Times New Roman"/>
          <w:b/>
          <w:sz w:val="24"/>
          <w:szCs w:val="24"/>
        </w:rPr>
      </w:pPr>
    </w:p>
    <w:p>
      <w:pPr>
        <w:snapToGrid w:val="0"/>
        <w:spacing w:line="360" w:lineRule="auto"/>
        <w:ind w:firstLine="482" w:firstLineChars="200"/>
        <w:jc w:val="right"/>
        <w:rPr>
          <w:rFonts w:hint="default" w:ascii="Times New Roman" w:hAnsi="Times New Roman" w:cs="Times New Roman"/>
          <w:b/>
          <w:sz w:val="24"/>
          <w:szCs w:val="24"/>
        </w:rPr>
      </w:pPr>
    </w:p>
    <w:p>
      <w:pPr>
        <w:snapToGrid w:val="0"/>
        <w:spacing w:line="360" w:lineRule="auto"/>
        <w:ind w:firstLine="482"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中广核核技术发展股份有限公司</w:t>
      </w:r>
    </w:p>
    <w:p>
      <w:pPr>
        <w:snapToGrid w:val="0"/>
        <w:spacing w:line="360" w:lineRule="auto"/>
        <w:ind w:firstLine="482"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董事会</w:t>
      </w:r>
    </w:p>
    <w:p>
      <w:pPr>
        <w:snapToGrid w:val="0"/>
        <w:spacing w:line="360" w:lineRule="auto"/>
        <w:ind w:firstLine="482" w:firstLineChars="200"/>
        <w:jc w:val="right"/>
        <w:rPr>
          <w:rFonts w:hint="default" w:ascii="Times New Roman" w:hAnsi="Times New Roman" w:cs="Times New Roman"/>
          <w:sz w:val="24"/>
          <w:szCs w:val="24"/>
        </w:rPr>
      </w:pPr>
      <w:r>
        <w:rPr>
          <w:rFonts w:hint="default" w:ascii="Times New Roman" w:hAnsi="Times New Roman" w:cs="Times New Roman"/>
          <w:b/>
          <w:sz w:val="24"/>
          <w:szCs w:val="24"/>
        </w:rPr>
        <w:t>202</w:t>
      </w:r>
      <w:r>
        <w:rPr>
          <w:rFonts w:hint="eastAsia" w:ascii="Times New Roman" w:hAnsi="Times New Roman" w:cs="Times New Roman"/>
          <w:b/>
          <w:sz w:val="24"/>
          <w:szCs w:val="24"/>
          <w:lang w:val="en-US" w:eastAsia="zh-CN"/>
        </w:rPr>
        <w:t>3</w:t>
      </w:r>
      <w:r>
        <w:rPr>
          <w:rFonts w:hint="default" w:ascii="Times New Roman" w:hAnsi="Times New Roman" w:cs="Times New Roman"/>
          <w:b/>
          <w:sz w:val="24"/>
          <w:szCs w:val="24"/>
        </w:rPr>
        <w:t>年</w:t>
      </w:r>
      <w:r>
        <w:rPr>
          <w:rFonts w:hint="eastAsia" w:ascii="Times New Roman" w:hAnsi="Times New Roman" w:cs="Times New Roman"/>
          <w:b/>
          <w:sz w:val="24"/>
          <w:szCs w:val="24"/>
          <w:lang w:val="en-US" w:eastAsia="zh-CN"/>
        </w:rPr>
        <w:t>10</w:t>
      </w:r>
      <w:r>
        <w:rPr>
          <w:rFonts w:hint="default" w:ascii="Times New Roman" w:hAnsi="Times New Roman" w:cs="Times New Roman"/>
          <w:b/>
          <w:sz w:val="24"/>
          <w:szCs w:val="24"/>
        </w:rPr>
        <w:t>月</w:t>
      </w:r>
      <w:r>
        <w:rPr>
          <w:rFonts w:hint="eastAsia" w:ascii="Times New Roman" w:hAnsi="Times New Roman" w:cs="Times New Roman"/>
          <w:b/>
          <w:sz w:val="24"/>
          <w:szCs w:val="24"/>
          <w:lang w:val="en-US" w:eastAsia="zh-CN"/>
        </w:rPr>
        <w:t>28</w:t>
      </w:r>
      <w:r>
        <w:rPr>
          <w:rFonts w:hint="default" w:ascii="Times New Roman" w:hAnsi="Times New Roman" w:cs="Times New Roman"/>
          <w:b/>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3"/>
      <w:lvlText w:val="%1、"/>
      <w:legacy w:legacy="1" w:legacySpace="0" w:legacyIndent="465"/>
      <w:lvlJc w:val="left"/>
      <w:pPr>
        <w:ind w:left="1035" w:hanging="465"/>
      </w:pPr>
      <w:rPr>
        <w:rFonts w:hint="eastAsia" w:ascii="楷体_GB2312" w:eastAsia="楷体_GB2312"/>
        <w:b w:val="0"/>
        <w:i w:val="0"/>
        <w:sz w:val="28"/>
        <w:u w:val="none"/>
      </w:rPr>
    </w:lvl>
  </w:abstractNum>
  <w:abstractNum w:abstractNumId="1">
    <w:nsid w:val="36FAC957"/>
    <w:multiLevelType w:val="singleLevel"/>
    <w:tmpl w:val="36FAC95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E69"/>
    <w:rsid w:val="0000070D"/>
    <w:rsid w:val="000018E4"/>
    <w:rsid w:val="00001B05"/>
    <w:rsid w:val="00001F37"/>
    <w:rsid w:val="00001F70"/>
    <w:rsid w:val="00003433"/>
    <w:rsid w:val="0000729F"/>
    <w:rsid w:val="00012FCA"/>
    <w:rsid w:val="00013BAD"/>
    <w:rsid w:val="00013DE7"/>
    <w:rsid w:val="0001484C"/>
    <w:rsid w:val="000222C4"/>
    <w:rsid w:val="00024767"/>
    <w:rsid w:val="000252E3"/>
    <w:rsid w:val="00027656"/>
    <w:rsid w:val="000315F7"/>
    <w:rsid w:val="00032084"/>
    <w:rsid w:val="000364D6"/>
    <w:rsid w:val="000405F2"/>
    <w:rsid w:val="00040745"/>
    <w:rsid w:val="00040E2A"/>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2129"/>
    <w:rsid w:val="00062E11"/>
    <w:rsid w:val="00063A9B"/>
    <w:rsid w:val="00063F7F"/>
    <w:rsid w:val="000645B1"/>
    <w:rsid w:val="00064887"/>
    <w:rsid w:val="0006546C"/>
    <w:rsid w:val="00081090"/>
    <w:rsid w:val="00081A66"/>
    <w:rsid w:val="000822BE"/>
    <w:rsid w:val="000828BD"/>
    <w:rsid w:val="00082936"/>
    <w:rsid w:val="00086615"/>
    <w:rsid w:val="000868C9"/>
    <w:rsid w:val="00086B9F"/>
    <w:rsid w:val="00090342"/>
    <w:rsid w:val="00093C0D"/>
    <w:rsid w:val="000A02FE"/>
    <w:rsid w:val="000A68BD"/>
    <w:rsid w:val="000B0888"/>
    <w:rsid w:val="000B22DD"/>
    <w:rsid w:val="000B3357"/>
    <w:rsid w:val="000B3495"/>
    <w:rsid w:val="000B5870"/>
    <w:rsid w:val="000C0E38"/>
    <w:rsid w:val="000C0FE7"/>
    <w:rsid w:val="000C398E"/>
    <w:rsid w:val="000C50D1"/>
    <w:rsid w:val="000C5E04"/>
    <w:rsid w:val="000C71E5"/>
    <w:rsid w:val="000D1032"/>
    <w:rsid w:val="000D2D28"/>
    <w:rsid w:val="000D3D05"/>
    <w:rsid w:val="000D6F96"/>
    <w:rsid w:val="000D7118"/>
    <w:rsid w:val="000E03B2"/>
    <w:rsid w:val="000E2E56"/>
    <w:rsid w:val="000E4970"/>
    <w:rsid w:val="000E4DC9"/>
    <w:rsid w:val="000E4FF5"/>
    <w:rsid w:val="000E5A9B"/>
    <w:rsid w:val="000E6CD7"/>
    <w:rsid w:val="000E733F"/>
    <w:rsid w:val="000F0B77"/>
    <w:rsid w:val="000F26C4"/>
    <w:rsid w:val="000F33E2"/>
    <w:rsid w:val="000F3D49"/>
    <w:rsid w:val="000F3FEE"/>
    <w:rsid w:val="000F4132"/>
    <w:rsid w:val="000F55F2"/>
    <w:rsid w:val="000F69B3"/>
    <w:rsid w:val="000F6D10"/>
    <w:rsid w:val="000F7775"/>
    <w:rsid w:val="001008A5"/>
    <w:rsid w:val="00101550"/>
    <w:rsid w:val="00106F91"/>
    <w:rsid w:val="001077F4"/>
    <w:rsid w:val="0011228F"/>
    <w:rsid w:val="001132CB"/>
    <w:rsid w:val="00113D3C"/>
    <w:rsid w:val="00120AE3"/>
    <w:rsid w:val="00121480"/>
    <w:rsid w:val="00122502"/>
    <w:rsid w:val="00122815"/>
    <w:rsid w:val="00122928"/>
    <w:rsid w:val="00123294"/>
    <w:rsid w:val="00123D1A"/>
    <w:rsid w:val="001251EB"/>
    <w:rsid w:val="00127F6A"/>
    <w:rsid w:val="0013019C"/>
    <w:rsid w:val="00130517"/>
    <w:rsid w:val="001318C3"/>
    <w:rsid w:val="00132C15"/>
    <w:rsid w:val="001330A5"/>
    <w:rsid w:val="00135267"/>
    <w:rsid w:val="0013696E"/>
    <w:rsid w:val="00136AC4"/>
    <w:rsid w:val="00140B6F"/>
    <w:rsid w:val="00141CE9"/>
    <w:rsid w:val="00142DF0"/>
    <w:rsid w:val="00143646"/>
    <w:rsid w:val="00147D93"/>
    <w:rsid w:val="00150D93"/>
    <w:rsid w:val="00152F22"/>
    <w:rsid w:val="00155356"/>
    <w:rsid w:val="001619BE"/>
    <w:rsid w:val="001672F9"/>
    <w:rsid w:val="001711B8"/>
    <w:rsid w:val="00171F37"/>
    <w:rsid w:val="001735A0"/>
    <w:rsid w:val="00173CEF"/>
    <w:rsid w:val="00174E35"/>
    <w:rsid w:val="00175408"/>
    <w:rsid w:val="001758B5"/>
    <w:rsid w:val="00175CBF"/>
    <w:rsid w:val="00176115"/>
    <w:rsid w:val="001779E1"/>
    <w:rsid w:val="0018038D"/>
    <w:rsid w:val="00180636"/>
    <w:rsid w:val="00182210"/>
    <w:rsid w:val="00182A5F"/>
    <w:rsid w:val="0018364A"/>
    <w:rsid w:val="00184563"/>
    <w:rsid w:val="001851C6"/>
    <w:rsid w:val="00186CD1"/>
    <w:rsid w:val="0018799D"/>
    <w:rsid w:val="00190AA3"/>
    <w:rsid w:val="0019389A"/>
    <w:rsid w:val="00193EE4"/>
    <w:rsid w:val="0019426B"/>
    <w:rsid w:val="001943AE"/>
    <w:rsid w:val="00196DD8"/>
    <w:rsid w:val="001A077E"/>
    <w:rsid w:val="001A0C62"/>
    <w:rsid w:val="001A1609"/>
    <w:rsid w:val="001A198A"/>
    <w:rsid w:val="001A26DE"/>
    <w:rsid w:val="001A27C9"/>
    <w:rsid w:val="001A3E5F"/>
    <w:rsid w:val="001A6CF4"/>
    <w:rsid w:val="001A6DBB"/>
    <w:rsid w:val="001A726D"/>
    <w:rsid w:val="001A75E0"/>
    <w:rsid w:val="001B0D78"/>
    <w:rsid w:val="001B1368"/>
    <w:rsid w:val="001B26FF"/>
    <w:rsid w:val="001B46CC"/>
    <w:rsid w:val="001B71DD"/>
    <w:rsid w:val="001C1F46"/>
    <w:rsid w:val="001C3BDD"/>
    <w:rsid w:val="001C55C8"/>
    <w:rsid w:val="001D1554"/>
    <w:rsid w:val="001D1FD2"/>
    <w:rsid w:val="001D27C2"/>
    <w:rsid w:val="001D4F4C"/>
    <w:rsid w:val="001D7325"/>
    <w:rsid w:val="001E0396"/>
    <w:rsid w:val="001E504C"/>
    <w:rsid w:val="001E5811"/>
    <w:rsid w:val="001E5A48"/>
    <w:rsid w:val="001E74C3"/>
    <w:rsid w:val="001F1297"/>
    <w:rsid w:val="001F5845"/>
    <w:rsid w:val="001F6AA1"/>
    <w:rsid w:val="001F7A38"/>
    <w:rsid w:val="00200618"/>
    <w:rsid w:val="00203CC6"/>
    <w:rsid w:val="002042D4"/>
    <w:rsid w:val="002046EF"/>
    <w:rsid w:val="00210ACC"/>
    <w:rsid w:val="0021237C"/>
    <w:rsid w:val="00213050"/>
    <w:rsid w:val="00215345"/>
    <w:rsid w:val="0021591A"/>
    <w:rsid w:val="00217950"/>
    <w:rsid w:val="00221786"/>
    <w:rsid w:val="002219F2"/>
    <w:rsid w:val="00223FEE"/>
    <w:rsid w:val="00225612"/>
    <w:rsid w:val="00227D09"/>
    <w:rsid w:val="00231432"/>
    <w:rsid w:val="00232CED"/>
    <w:rsid w:val="00241B2A"/>
    <w:rsid w:val="00241C22"/>
    <w:rsid w:val="0024570C"/>
    <w:rsid w:val="0024605D"/>
    <w:rsid w:val="002462C7"/>
    <w:rsid w:val="0024794D"/>
    <w:rsid w:val="00253C07"/>
    <w:rsid w:val="00253EB5"/>
    <w:rsid w:val="002553AE"/>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703"/>
    <w:rsid w:val="0028583F"/>
    <w:rsid w:val="00285ECD"/>
    <w:rsid w:val="00286AE0"/>
    <w:rsid w:val="0029131D"/>
    <w:rsid w:val="00292622"/>
    <w:rsid w:val="00292860"/>
    <w:rsid w:val="00294C3D"/>
    <w:rsid w:val="00295EA0"/>
    <w:rsid w:val="00296EE8"/>
    <w:rsid w:val="00296F2D"/>
    <w:rsid w:val="00297A79"/>
    <w:rsid w:val="002A4FCB"/>
    <w:rsid w:val="002A5C87"/>
    <w:rsid w:val="002B03AF"/>
    <w:rsid w:val="002B22B3"/>
    <w:rsid w:val="002C4293"/>
    <w:rsid w:val="002D1824"/>
    <w:rsid w:val="002D1EF9"/>
    <w:rsid w:val="002D21A8"/>
    <w:rsid w:val="002D4AB5"/>
    <w:rsid w:val="002D746D"/>
    <w:rsid w:val="002D7DFE"/>
    <w:rsid w:val="002E024D"/>
    <w:rsid w:val="002E03A2"/>
    <w:rsid w:val="002E3DE1"/>
    <w:rsid w:val="002E7E85"/>
    <w:rsid w:val="002E7F16"/>
    <w:rsid w:val="002F0134"/>
    <w:rsid w:val="002F15EF"/>
    <w:rsid w:val="002F6A0E"/>
    <w:rsid w:val="0030260F"/>
    <w:rsid w:val="00302905"/>
    <w:rsid w:val="003035D6"/>
    <w:rsid w:val="003043E1"/>
    <w:rsid w:val="003062F8"/>
    <w:rsid w:val="003063A6"/>
    <w:rsid w:val="00310B85"/>
    <w:rsid w:val="00310EFD"/>
    <w:rsid w:val="0031131E"/>
    <w:rsid w:val="003125E1"/>
    <w:rsid w:val="003134E1"/>
    <w:rsid w:val="00315795"/>
    <w:rsid w:val="0031682D"/>
    <w:rsid w:val="00317F0E"/>
    <w:rsid w:val="0032030F"/>
    <w:rsid w:val="00320ACB"/>
    <w:rsid w:val="0032419B"/>
    <w:rsid w:val="00326EE7"/>
    <w:rsid w:val="00327C50"/>
    <w:rsid w:val="003318C5"/>
    <w:rsid w:val="00331EDD"/>
    <w:rsid w:val="00332548"/>
    <w:rsid w:val="0033435E"/>
    <w:rsid w:val="00337925"/>
    <w:rsid w:val="00344860"/>
    <w:rsid w:val="00346C94"/>
    <w:rsid w:val="003505F5"/>
    <w:rsid w:val="003514E4"/>
    <w:rsid w:val="00352FDF"/>
    <w:rsid w:val="003539D7"/>
    <w:rsid w:val="00354346"/>
    <w:rsid w:val="003546AA"/>
    <w:rsid w:val="00356450"/>
    <w:rsid w:val="00357CAD"/>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6C81"/>
    <w:rsid w:val="003900E3"/>
    <w:rsid w:val="00392691"/>
    <w:rsid w:val="00392A36"/>
    <w:rsid w:val="0039362B"/>
    <w:rsid w:val="00395D6C"/>
    <w:rsid w:val="003A292F"/>
    <w:rsid w:val="003A2989"/>
    <w:rsid w:val="003A2A74"/>
    <w:rsid w:val="003A3403"/>
    <w:rsid w:val="003A4AB1"/>
    <w:rsid w:val="003A51A7"/>
    <w:rsid w:val="003A607C"/>
    <w:rsid w:val="003A7C90"/>
    <w:rsid w:val="003B1804"/>
    <w:rsid w:val="003B2FBC"/>
    <w:rsid w:val="003B4BB5"/>
    <w:rsid w:val="003B546C"/>
    <w:rsid w:val="003C03F3"/>
    <w:rsid w:val="003C0743"/>
    <w:rsid w:val="003C0B6B"/>
    <w:rsid w:val="003C0CB3"/>
    <w:rsid w:val="003C2E06"/>
    <w:rsid w:val="003C5EA8"/>
    <w:rsid w:val="003C6F4E"/>
    <w:rsid w:val="003C6FE9"/>
    <w:rsid w:val="003D0362"/>
    <w:rsid w:val="003D1DEA"/>
    <w:rsid w:val="003D3D95"/>
    <w:rsid w:val="003D60C8"/>
    <w:rsid w:val="003D6BA8"/>
    <w:rsid w:val="003E0DBA"/>
    <w:rsid w:val="003E5295"/>
    <w:rsid w:val="003E54CA"/>
    <w:rsid w:val="003E584F"/>
    <w:rsid w:val="003E7FF5"/>
    <w:rsid w:val="003F0050"/>
    <w:rsid w:val="003F0402"/>
    <w:rsid w:val="003F07F0"/>
    <w:rsid w:val="003F22F8"/>
    <w:rsid w:val="003F27DF"/>
    <w:rsid w:val="003F2969"/>
    <w:rsid w:val="003F3D44"/>
    <w:rsid w:val="003F4A59"/>
    <w:rsid w:val="003F61E2"/>
    <w:rsid w:val="003F73AD"/>
    <w:rsid w:val="004004A6"/>
    <w:rsid w:val="0040098A"/>
    <w:rsid w:val="00400D97"/>
    <w:rsid w:val="00402ED1"/>
    <w:rsid w:val="00403BC7"/>
    <w:rsid w:val="0040407C"/>
    <w:rsid w:val="004054C4"/>
    <w:rsid w:val="00405A64"/>
    <w:rsid w:val="0040741F"/>
    <w:rsid w:val="004100A0"/>
    <w:rsid w:val="00410D4C"/>
    <w:rsid w:val="00412C83"/>
    <w:rsid w:val="00414DAF"/>
    <w:rsid w:val="00415A70"/>
    <w:rsid w:val="0041664F"/>
    <w:rsid w:val="00416DB9"/>
    <w:rsid w:val="00417251"/>
    <w:rsid w:val="0041747D"/>
    <w:rsid w:val="00420C33"/>
    <w:rsid w:val="00422294"/>
    <w:rsid w:val="0042512F"/>
    <w:rsid w:val="00425D5C"/>
    <w:rsid w:val="0043136C"/>
    <w:rsid w:val="00431A2F"/>
    <w:rsid w:val="004326D7"/>
    <w:rsid w:val="00433A97"/>
    <w:rsid w:val="004377D7"/>
    <w:rsid w:val="004403AB"/>
    <w:rsid w:val="00444200"/>
    <w:rsid w:val="00445D18"/>
    <w:rsid w:val="00447146"/>
    <w:rsid w:val="00451457"/>
    <w:rsid w:val="00456040"/>
    <w:rsid w:val="00457CA7"/>
    <w:rsid w:val="00460E7C"/>
    <w:rsid w:val="00460F8C"/>
    <w:rsid w:val="00461DEF"/>
    <w:rsid w:val="004624B3"/>
    <w:rsid w:val="00462862"/>
    <w:rsid w:val="0046429F"/>
    <w:rsid w:val="00465A3C"/>
    <w:rsid w:val="00465BF0"/>
    <w:rsid w:val="0047101A"/>
    <w:rsid w:val="00474C11"/>
    <w:rsid w:val="0047752E"/>
    <w:rsid w:val="00480602"/>
    <w:rsid w:val="00481AA6"/>
    <w:rsid w:val="00482515"/>
    <w:rsid w:val="00482B64"/>
    <w:rsid w:val="004833D2"/>
    <w:rsid w:val="0048507C"/>
    <w:rsid w:val="00486D35"/>
    <w:rsid w:val="004908EC"/>
    <w:rsid w:val="0049198B"/>
    <w:rsid w:val="00493E25"/>
    <w:rsid w:val="00493EF0"/>
    <w:rsid w:val="00495998"/>
    <w:rsid w:val="00497F57"/>
    <w:rsid w:val="004A0FB1"/>
    <w:rsid w:val="004A1ADC"/>
    <w:rsid w:val="004A2D8A"/>
    <w:rsid w:val="004B0487"/>
    <w:rsid w:val="004B1E05"/>
    <w:rsid w:val="004B21C5"/>
    <w:rsid w:val="004B2AA2"/>
    <w:rsid w:val="004B3D7C"/>
    <w:rsid w:val="004B4988"/>
    <w:rsid w:val="004C2611"/>
    <w:rsid w:val="004D0DF8"/>
    <w:rsid w:val="004D0F2E"/>
    <w:rsid w:val="004D1890"/>
    <w:rsid w:val="004D24CE"/>
    <w:rsid w:val="004D4403"/>
    <w:rsid w:val="004D5EE0"/>
    <w:rsid w:val="004E0EB1"/>
    <w:rsid w:val="004E1014"/>
    <w:rsid w:val="004E1819"/>
    <w:rsid w:val="004E39CC"/>
    <w:rsid w:val="004E3A40"/>
    <w:rsid w:val="004E6620"/>
    <w:rsid w:val="004E7D49"/>
    <w:rsid w:val="004F21A4"/>
    <w:rsid w:val="004F2974"/>
    <w:rsid w:val="004F5478"/>
    <w:rsid w:val="004F6473"/>
    <w:rsid w:val="005007E2"/>
    <w:rsid w:val="00500898"/>
    <w:rsid w:val="00501102"/>
    <w:rsid w:val="00501F06"/>
    <w:rsid w:val="00503452"/>
    <w:rsid w:val="00503478"/>
    <w:rsid w:val="005116FD"/>
    <w:rsid w:val="00511A8A"/>
    <w:rsid w:val="00516D72"/>
    <w:rsid w:val="005207EB"/>
    <w:rsid w:val="005224F0"/>
    <w:rsid w:val="00523355"/>
    <w:rsid w:val="00523AA6"/>
    <w:rsid w:val="005242ED"/>
    <w:rsid w:val="00524753"/>
    <w:rsid w:val="0052623C"/>
    <w:rsid w:val="00527F5B"/>
    <w:rsid w:val="00531D5B"/>
    <w:rsid w:val="005331CF"/>
    <w:rsid w:val="0053371C"/>
    <w:rsid w:val="00537B62"/>
    <w:rsid w:val="00540445"/>
    <w:rsid w:val="00540C51"/>
    <w:rsid w:val="005454D5"/>
    <w:rsid w:val="00550D32"/>
    <w:rsid w:val="00553397"/>
    <w:rsid w:val="005549AD"/>
    <w:rsid w:val="005550AE"/>
    <w:rsid w:val="005552D9"/>
    <w:rsid w:val="00555C62"/>
    <w:rsid w:val="005565AC"/>
    <w:rsid w:val="00556B0B"/>
    <w:rsid w:val="00557C71"/>
    <w:rsid w:val="0056499A"/>
    <w:rsid w:val="00566CDD"/>
    <w:rsid w:val="00566ECF"/>
    <w:rsid w:val="00570EA4"/>
    <w:rsid w:val="005721B0"/>
    <w:rsid w:val="0057429B"/>
    <w:rsid w:val="005777B9"/>
    <w:rsid w:val="00580136"/>
    <w:rsid w:val="00584937"/>
    <w:rsid w:val="00584BA1"/>
    <w:rsid w:val="00584DA1"/>
    <w:rsid w:val="00585497"/>
    <w:rsid w:val="005870C8"/>
    <w:rsid w:val="00587BF1"/>
    <w:rsid w:val="0059030C"/>
    <w:rsid w:val="00590CD5"/>
    <w:rsid w:val="005956B0"/>
    <w:rsid w:val="00596D32"/>
    <w:rsid w:val="005A1320"/>
    <w:rsid w:val="005A4CEA"/>
    <w:rsid w:val="005A72D8"/>
    <w:rsid w:val="005B3619"/>
    <w:rsid w:val="005B3A52"/>
    <w:rsid w:val="005C0744"/>
    <w:rsid w:val="005C3F4D"/>
    <w:rsid w:val="005D149B"/>
    <w:rsid w:val="005D3F2F"/>
    <w:rsid w:val="005D7223"/>
    <w:rsid w:val="005E0C92"/>
    <w:rsid w:val="005E105C"/>
    <w:rsid w:val="005E592C"/>
    <w:rsid w:val="005E6583"/>
    <w:rsid w:val="005F1E32"/>
    <w:rsid w:val="005F2A66"/>
    <w:rsid w:val="005F35E4"/>
    <w:rsid w:val="005F3CD7"/>
    <w:rsid w:val="005F7051"/>
    <w:rsid w:val="00605620"/>
    <w:rsid w:val="00606C39"/>
    <w:rsid w:val="00611B4C"/>
    <w:rsid w:val="00615CA9"/>
    <w:rsid w:val="0061686A"/>
    <w:rsid w:val="006170F1"/>
    <w:rsid w:val="00617F18"/>
    <w:rsid w:val="006204BA"/>
    <w:rsid w:val="006240FE"/>
    <w:rsid w:val="00624D1A"/>
    <w:rsid w:val="00627C23"/>
    <w:rsid w:val="00630AA0"/>
    <w:rsid w:val="0063222D"/>
    <w:rsid w:val="00632817"/>
    <w:rsid w:val="00634F3D"/>
    <w:rsid w:val="0063550F"/>
    <w:rsid w:val="00635951"/>
    <w:rsid w:val="00636B7E"/>
    <w:rsid w:val="00637763"/>
    <w:rsid w:val="00642525"/>
    <w:rsid w:val="006501FD"/>
    <w:rsid w:val="0065064E"/>
    <w:rsid w:val="00651CA5"/>
    <w:rsid w:val="00652542"/>
    <w:rsid w:val="00652600"/>
    <w:rsid w:val="00652C81"/>
    <w:rsid w:val="00657A1A"/>
    <w:rsid w:val="00661874"/>
    <w:rsid w:val="00662635"/>
    <w:rsid w:val="006634C7"/>
    <w:rsid w:val="0066476E"/>
    <w:rsid w:val="0066666A"/>
    <w:rsid w:val="006708BA"/>
    <w:rsid w:val="00670B7D"/>
    <w:rsid w:val="00671D3A"/>
    <w:rsid w:val="00671D3E"/>
    <w:rsid w:val="00673F42"/>
    <w:rsid w:val="0067673B"/>
    <w:rsid w:val="00680400"/>
    <w:rsid w:val="00680C95"/>
    <w:rsid w:val="00683E22"/>
    <w:rsid w:val="006857C3"/>
    <w:rsid w:val="00690EA4"/>
    <w:rsid w:val="00691439"/>
    <w:rsid w:val="0069288B"/>
    <w:rsid w:val="00693012"/>
    <w:rsid w:val="006934B5"/>
    <w:rsid w:val="006946BB"/>
    <w:rsid w:val="006972AD"/>
    <w:rsid w:val="00697BAD"/>
    <w:rsid w:val="006A209E"/>
    <w:rsid w:val="006A2416"/>
    <w:rsid w:val="006A2693"/>
    <w:rsid w:val="006A471B"/>
    <w:rsid w:val="006A5E20"/>
    <w:rsid w:val="006B17F7"/>
    <w:rsid w:val="006B1B3C"/>
    <w:rsid w:val="006B322C"/>
    <w:rsid w:val="006B32BF"/>
    <w:rsid w:val="006B444E"/>
    <w:rsid w:val="006C17F8"/>
    <w:rsid w:val="006C3121"/>
    <w:rsid w:val="006C34E7"/>
    <w:rsid w:val="006C5854"/>
    <w:rsid w:val="006C71F2"/>
    <w:rsid w:val="006D03F5"/>
    <w:rsid w:val="006D073C"/>
    <w:rsid w:val="006D1331"/>
    <w:rsid w:val="006D24A5"/>
    <w:rsid w:val="006D39D0"/>
    <w:rsid w:val="006D3D1B"/>
    <w:rsid w:val="006D4403"/>
    <w:rsid w:val="006D5E70"/>
    <w:rsid w:val="006D66CC"/>
    <w:rsid w:val="006E093A"/>
    <w:rsid w:val="006E22F6"/>
    <w:rsid w:val="006E2BE6"/>
    <w:rsid w:val="006E2EAB"/>
    <w:rsid w:val="006E4F70"/>
    <w:rsid w:val="006E526A"/>
    <w:rsid w:val="006F08C6"/>
    <w:rsid w:val="006F252E"/>
    <w:rsid w:val="006F2783"/>
    <w:rsid w:val="006F2CE6"/>
    <w:rsid w:val="006F4AAE"/>
    <w:rsid w:val="006F5D6A"/>
    <w:rsid w:val="006F6E1C"/>
    <w:rsid w:val="006F715E"/>
    <w:rsid w:val="007005CA"/>
    <w:rsid w:val="00700761"/>
    <w:rsid w:val="00702852"/>
    <w:rsid w:val="00702A98"/>
    <w:rsid w:val="00702FAD"/>
    <w:rsid w:val="00706136"/>
    <w:rsid w:val="00710858"/>
    <w:rsid w:val="007134A0"/>
    <w:rsid w:val="00716232"/>
    <w:rsid w:val="007162F2"/>
    <w:rsid w:val="00716C3D"/>
    <w:rsid w:val="00722AE8"/>
    <w:rsid w:val="0072305D"/>
    <w:rsid w:val="0072360C"/>
    <w:rsid w:val="00723937"/>
    <w:rsid w:val="007303CA"/>
    <w:rsid w:val="00730F53"/>
    <w:rsid w:val="0073247B"/>
    <w:rsid w:val="00733D3D"/>
    <w:rsid w:val="00740AB8"/>
    <w:rsid w:val="00743EE4"/>
    <w:rsid w:val="0074467B"/>
    <w:rsid w:val="00744E34"/>
    <w:rsid w:val="00747593"/>
    <w:rsid w:val="00747DC4"/>
    <w:rsid w:val="00751696"/>
    <w:rsid w:val="00753911"/>
    <w:rsid w:val="00753AD4"/>
    <w:rsid w:val="007545CE"/>
    <w:rsid w:val="0075504F"/>
    <w:rsid w:val="00756A09"/>
    <w:rsid w:val="007627B2"/>
    <w:rsid w:val="00762836"/>
    <w:rsid w:val="00770B79"/>
    <w:rsid w:val="007740D4"/>
    <w:rsid w:val="00775D17"/>
    <w:rsid w:val="00777B97"/>
    <w:rsid w:val="007802AE"/>
    <w:rsid w:val="007823C8"/>
    <w:rsid w:val="007838FB"/>
    <w:rsid w:val="007862F9"/>
    <w:rsid w:val="00786927"/>
    <w:rsid w:val="00793EB9"/>
    <w:rsid w:val="00797A7D"/>
    <w:rsid w:val="007A198A"/>
    <w:rsid w:val="007A2A9E"/>
    <w:rsid w:val="007A577B"/>
    <w:rsid w:val="007A62DB"/>
    <w:rsid w:val="007A6E3D"/>
    <w:rsid w:val="007A7F89"/>
    <w:rsid w:val="007B007C"/>
    <w:rsid w:val="007B1819"/>
    <w:rsid w:val="007B2111"/>
    <w:rsid w:val="007B3B6A"/>
    <w:rsid w:val="007B69F4"/>
    <w:rsid w:val="007B7C4C"/>
    <w:rsid w:val="007C261C"/>
    <w:rsid w:val="007C3C54"/>
    <w:rsid w:val="007C74BE"/>
    <w:rsid w:val="007C7B96"/>
    <w:rsid w:val="007D015C"/>
    <w:rsid w:val="007D02E0"/>
    <w:rsid w:val="007D77E3"/>
    <w:rsid w:val="007E1D0E"/>
    <w:rsid w:val="007E5775"/>
    <w:rsid w:val="007E652F"/>
    <w:rsid w:val="007F1239"/>
    <w:rsid w:val="007F3469"/>
    <w:rsid w:val="00800509"/>
    <w:rsid w:val="00802140"/>
    <w:rsid w:val="008021AC"/>
    <w:rsid w:val="008069B6"/>
    <w:rsid w:val="00806EB4"/>
    <w:rsid w:val="00807400"/>
    <w:rsid w:val="0081143F"/>
    <w:rsid w:val="00811612"/>
    <w:rsid w:val="00812E89"/>
    <w:rsid w:val="00814C84"/>
    <w:rsid w:val="00815DA7"/>
    <w:rsid w:val="00821CF8"/>
    <w:rsid w:val="00821E29"/>
    <w:rsid w:val="00823195"/>
    <w:rsid w:val="00826019"/>
    <w:rsid w:val="00827788"/>
    <w:rsid w:val="0083025F"/>
    <w:rsid w:val="00830A44"/>
    <w:rsid w:val="00832537"/>
    <w:rsid w:val="00833A64"/>
    <w:rsid w:val="00836155"/>
    <w:rsid w:val="00836D6C"/>
    <w:rsid w:val="00836F29"/>
    <w:rsid w:val="00842435"/>
    <w:rsid w:val="008444D6"/>
    <w:rsid w:val="008450E6"/>
    <w:rsid w:val="00847D79"/>
    <w:rsid w:val="00847E3F"/>
    <w:rsid w:val="008516BC"/>
    <w:rsid w:val="00853158"/>
    <w:rsid w:val="00853E68"/>
    <w:rsid w:val="00856A76"/>
    <w:rsid w:val="00861739"/>
    <w:rsid w:val="008629B0"/>
    <w:rsid w:val="0086311A"/>
    <w:rsid w:val="00864765"/>
    <w:rsid w:val="008648F7"/>
    <w:rsid w:val="008652D5"/>
    <w:rsid w:val="00867CD3"/>
    <w:rsid w:val="008711C0"/>
    <w:rsid w:val="00873BA3"/>
    <w:rsid w:val="0087440C"/>
    <w:rsid w:val="0087519C"/>
    <w:rsid w:val="00880682"/>
    <w:rsid w:val="00880CCA"/>
    <w:rsid w:val="008845F8"/>
    <w:rsid w:val="00885EB1"/>
    <w:rsid w:val="00886FAA"/>
    <w:rsid w:val="008877BC"/>
    <w:rsid w:val="008904F9"/>
    <w:rsid w:val="00890BE1"/>
    <w:rsid w:val="00891F38"/>
    <w:rsid w:val="00892379"/>
    <w:rsid w:val="0089486B"/>
    <w:rsid w:val="00894B9F"/>
    <w:rsid w:val="00894CF8"/>
    <w:rsid w:val="008957D3"/>
    <w:rsid w:val="00895CD4"/>
    <w:rsid w:val="00896298"/>
    <w:rsid w:val="00896432"/>
    <w:rsid w:val="00896A4D"/>
    <w:rsid w:val="00897DC3"/>
    <w:rsid w:val="008A058C"/>
    <w:rsid w:val="008A074F"/>
    <w:rsid w:val="008A1F70"/>
    <w:rsid w:val="008A2897"/>
    <w:rsid w:val="008A296B"/>
    <w:rsid w:val="008A3968"/>
    <w:rsid w:val="008A5EF8"/>
    <w:rsid w:val="008A77CB"/>
    <w:rsid w:val="008A7B24"/>
    <w:rsid w:val="008B142A"/>
    <w:rsid w:val="008B394A"/>
    <w:rsid w:val="008B3CB8"/>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9AD"/>
    <w:rsid w:val="008C5CC6"/>
    <w:rsid w:val="008C6A19"/>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457"/>
    <w:rsid w:val="00911EDE"/>
    <w:rsid w:val="00912A93"/>
    <w:rsid w:val="00913D6F"/>
    <w:rsid w:val="00914888"/>
    <w:rsid w:val="00914BC1"/>
    <w:rsid w:val="0091538D"/>
    <w:rsid w:val="00915497"/>
    <w:rsid w:val="0091560D"/>
    <w:rsid w:val="00916308"/>
    <w:rsid w:val="00916CA2"/>
    <w:rsid w:val="00917392"/>
    <w:rsid w:val="0091755E"/>
    <w:rsid w:val="00920C1C"/>
    <w:rsid w:val="009216D3"/>
    <w:rsid w:val="00922B6D"/>
    <w:rsid w:val="00924E12"/>
    <w:rsid w:val="00924F01"/>
    <w:rsid w:val="009330D8"/>
    <w:rsid w:val="0093317B"/>
    <w:rsid w:val="00933722"/>
    <w:rsid w:val="009371DD"/>
    <w:rsid w:val="00941418"/>
    <w:rsid w:val="00943D83"/>
    <w:rsid w:val="009440F3"/>
    <w:rsid w:val="00947275"/>
    <w:rsid w:val="00947C3F"/>
    <w:rsid w:val="00947C97"/>
    <w:rsid w:val="00950C04"/>
    <w:rsid w:val="0095148B"/>
    <w:rsid w:val="0095164E"/>
    <w:rsid w:val="00956B63"/>
    <w:rsid w:val="00961BD2"/>
    <w:rsid w:val="0096261D"/>
    <w:rsid w:val="009644C0"/>
    <w:rsid w:val="00964D31"/>
    <w:rsid w:val="009657AE"/>
    <w:rsid w:val="009667F1"/>
    <w:rsid w:val="00966E8A"/>
    <w:rsid w:val="00967A76"/>
    <w:rsid w:val="00972012"/>
    <w:rsid w:val="0097255F"/>
    <w:rsid w:val="00973282"/>
    <w:rsid w:val="00973EA7"/>
    <w:rsid w:val="00974E3F"/>
    <w:rsid w:val="009765BD"/>
    <w:rsid w:val="00976CE0"/>
    <w:rsid w:val="00977388"/>
    <w:rsid w:val="00977493"/>
    <w:rsid w:val="00981E18"/>
    <w:rsid w:val="009842E9"/>
    <w:rsid w:val="00985599"/>
    <w:rsid w:val="009919D7"/>
    <w:rsid w:val="00992E33"/>
    <w:rsid w:val="009930C3"/>
    <w:rsid w:val="0099415E"/>
    <w:rsid w:val="00995B71"/>
    <w:rsid w:val="0099629A"/>
    <w:rsid w:val="00997E12"/>
    <w:rsid w:val="009A00C4"/>
    <w:rsid w:val="009A137D"/>
    <w:rsid w:val="009A2381"/>
    <w:rsid w:val="009A364A"/>
    <w:rsid w:val="009A38E7"/>
    <w:rsid w:val="009B01FB"/>
    <w:rsid w:val="009B2245"/>
    <w:rsid w:val="009B28D6"/>
    <w:rsid w:val="009B672D"/>
    <w:rsid w:val="009C1FB9"/>
    <w:rsid w:val="009C4852"/>
    <w:rsid w:val="009C67C6"/>
    <w:rsid w:val="009C7AC5"/>
    <w:rsid w:val="009C7C55"/>
    <w:rsid w:val="009D159C"/>
    <w:rsid w:val="009D240B"/>
    <w:rsid w:val="009D2418"/>
    <w:rsid w:val="009D31B1"/>
    <w:rsid w:val="009D45A0"/>
    <w:rsid w:val="009D5DDD"/>
    <w:rsid w:val="009E3356"/>
    <w:rsid w:val="009E625E"/>
    <w:rsid w:val="009E6673"/>
    <w:rsid w:val="009F02B0"/>
    <w:rsid w:val="009F060F"/>
    <w:rsid w:val="009F2C28"/>
    <w:rsid w:val="009F6740"/>
    <w:rsid w:val="00A016A1"/>
    <w:rsid w:val="00A02D71"/>
    <w:rsid w:val="00A033D1"/>
    <w:rsid w:val="00A039F9"/>
    <w:rsid w:val="00A03A10"/>
    <w:rsid w:val="00A03ECA"/>
    <w:rsid w:val="00A04570"/>
    <w:rsid w:val="00A0494E"/>
    <w:rsid w:val="00A0661E"/>
    <w:rsid w:val="00A1029E"/>
    <w:rsid w:val="00A102BA"/>
    <w:rsid w:val="00A15450"/>
    <w:rsid w:val="00A16F14"/>
    <w:rsid w:val="00A207C9"/>
    <w:rsid w:val="00A26FA9"/>
    <w:rsid w:val="00A307CB"/>
    <w:rsid w:val="00A37EF4"/>
    <w:rsid w:val="00A4177A"/>
    <w:rsid w:val="00A42BCF"/>
    <w:rsid w:val="00A43E47"/>
    <w:rsid w:val="00A4747D"/>
    <w:rsid w:val="00A5084D"/>
    <w:rsid w:val="00A50CAF"/>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1F6C"/>
    <w:rsid w:val="00A82521"/>
    <w:rsid w:val="00A86B40"/>
    <w:rsid w:val="00A902B4"/>
    <w:rsid w:val="00A90B03"/>
    <w:rsid w:val="00A91721"/>
    <w:rsid w:val="00A91E0E"/>
    <w:rsid w:val="00A9289B"/>
    <w:rsid w:val="00A93B8B"/>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951"/>
    <w:rsid w:val="00AB3F07"/>
    <w:rsid w:val="00AB5465"/>
    <w:rsid w:val="00AB5C15"/>
    <w:rsid w:val="00AB60AA"/>
    <w:rsid w:val="00AB6F2F"/>
    <w:rsid w:val="00AC0B61"/>
    <w:rsid w:val="00AC3629"/>
    <w:rsid w:val="00AC46C6"/>
    <w:rsid w:val="00AC5313"/>
    <w:rsid w:val="00AC60FC"/>
    <w:rsid w:val="00AC694B"/>
    <w:rsid w:val="00AC69C1"/>
    <w:rsid w:val="00AC7FF2"/>
    <w:rsid w:val="00AD194D"/>
    <w:rsid w:val="00AD27D3"/>
    <w:rsid w:val="00AD52C2"/>
    <w:rsid w:val="00AE1D4A"/>
    <w:rsid w:val="00AE3319"/>
    <w:rsid w:val="00AF12CD"/>
    <w:rsid w:val="00AF175A"/>
    <w:rsid w:val="00AF1A0A"/>
    <w:rsid w:val="00AF1E23"/>
    <w:rsid w:val="00AF26A0"/>
    <w:rsid w:val="00AF30AC"/>
    <w:rsid w:val="00AF6C67"/>
    <w:rsid w:val="00AF76B0"/>
    <w:rsid w:val="00B0137C"/>
    <w:rsid w:val="00B018FB"/>
    <w:rsid w:val="00B02353"/>
    <w:rsid w:val="00B03255"/>
    <w:rsid w:val="00B034A3"/>
    <w:rsid w:val="00B05597"/>
    <w:rsid w:val="00B05697"/>
    <w:rsid w:val="00B06853"/>
    <w:rsid w:val="00B07E69"/>
    <w:rsid w:val="00B1351B"/>
    <w:rsid w:val="00B16731"/>
    <w:rsid w:val="00B17EC9"/>
    <w:rsid w:val="00B17F12"/>
    <w:rsid w:val="00B21053"/>
    <w:rsid w:val="00B215E0"/>
    <w:rsid w:val="00B22A2E"/>
    <w:rsid w:val="00B22F30"/>
    <w:rsid w:val="00B23241"/>
    <w:rsid w:val="00B233D6"/>
    <w:rsid w:val="00B275FD"/>
    <w:rsid w:val="00B3050E"/>
    <w:rsid w:val="00B31606"/>
    <w:rsid w:val="00B31A31"/>
    <w:rsid w:val="00B34661"/>
    <w:rsid w:val="00B4086E"/>
    <w:rsid w:val="00B41D9C"/>
    <w:rsid w:val="00B44726"/>
    <w:rsid w:val="00B44BB7"/>
    <w:rsid w:val="00B45575"/>
    <w:rsid w:val="00B45CEC"/>
    <w:rsid w:val="00B45F85"/>
    <w:rsid w:val="00B47C56"/>
    <w:rsid w:val="00B503B0"/>
    <w:rsid w:val="00B5147D"/>
    <w:rsid w:val="00B514D5"/>
    <w:rsid w:val="00B522F2"/>
    <w:rsid w:val="00B54BED"/>
    <w:rsid w:val="00B56509"/>
    <w:rsid w:val="00B60136"/>
    <w:rsid w:val="00B60205"/>
    <w:rsid w:val="00B61285"/>
    <w:rsid w:val="00B61617"/>
    <w:rsid w:val="00B616C7"/>
    <w:rsid w:val="00B63347"/>
    <w:rsid w:val="00B637DC"/>
    <w:rsid w:val="00B6394E"/>
    <w:rsid w:val="00B6496A"/>
    <w:rsid w:val="00B650B4"/>
    <w:rsid w:val="00B67524"/>
    <w:rsid w:val="00B67F9F"/>
    <w:rsid w:val="00B703CD"/>
    <w:rsid w:val="00B70DF2"/>
    <w:rsid w:val="00B72369"/>
    <w:rsid w:val="00B734A0"/>
    <w:rsid w:val="00B747EE"/>
    <w:rsid w:val="00B77DA7"/>
    <w:rsid w:val="00B806DF"/>
    <w:rsid w:val="00B8079F"/>
    <w:rsid w:val="00B81E50"/>
    <w:rsid w:val="00B82C78"/>
    <w:rsid w:val="00B8396E"/>
    <w:rsid w:val="00B8659D"/>
    <w:rsid w:val="00B87BDB"/>
    <w:rsid w:val="00B95EE5"/>
    <w:rsid w:val="00B977B2"/>
    <w:rsid w:val="00BA00BC"/>
    <w:rsid w:val="00BA0AFE"/>
    <w:rsid w:val="00BA0BA8"/>
    <w:rsid w:val="00BA1B40"/>
    <w:rsid w:val="00BA3B05"/>
    <w:rsid w:val="00BA6BEE"/>
    <w:rsid w:val="00BA738D"/>
    <w:rsid w:val="00BA7D20"/>
    <w:rsid w:val="00BB3101"/>
    <w:rsid w:val="00BB53E8"/>
    <w:rsid w:val="00BC0CF0"/>
    <w:rsid w:val="00BC5A27"/>
    <w:rsid w:val="00BC6AFB"/>
    <w:rsid w:val="00BC6B81"/>
    <w:rsid w:val="00BC7D37"/>
    <w:rsid w:val="00BD2F75"/>
    <w:rsid w:val="00BD4405"/>
    <w:rsid w:val="00BD6A90"/>
    <w:rsid w:val="00BE000D"/>
    <w:rsid w:val="00BE01FC"/>
    <w:rsid w:val="00BE08EB"/>
    <w:rsid w:val="00BE1D85"/>
    <w:rsid w:val="00BE2148"/>
    <w:rsid w:val="00BE32A1"/>
    <w:rsid w:val="00BE3449"/>
    <w:rsid w:val="00BE4D04"/>
    <w:rsid w:val="00BE5EF9"/>
    <w:rsid w:val="00BF5D9F"/>
    <w:rsid w:val="00C026E9"/>
    <w:rsid w:val="00C03B2F"/>
    <w:rsid w:val="00C03D29"/>
    <w:rsid w:val="00C043F1"/>
    <w:rsid w:val="00C05278"/>
    <w:rsid w:val="00C05E26"/>
    <w:rsid w:val="00C071D0"/>
    <w:rsid w:val="00C074E2"/>
    <w:rsid w:val="00C07A47"/>
    <w:rsid w:val="00C07C15"/>
    <w:rsid w:val="00C11A2F"/>
    <w:rsid w:val="00C11C26"/>
    <w:rsid w:val="00C132E1"/>
    <w:rsid w:val="00C132F6"/>
    <w:rsid w:val="00C14B50"/>
    <w:rsid w:val="00C15330"/>
    <w:rsid w:val="00C16C41"/>
    <w:rsid w:val="00C23706"/>
    <w:rsid w:val="00C267F1"/>
    <w:rsid w:val="00C26D3E"/>
    <w:rsid w:val="00C30821"/>
    <w:rsid w:val="00C3266C"/>
    <w:rsid w:val="00C327DF"/>
    <w:rsid w:val="00C32F40"/>
    <w:rsid w:val="00C333A4"/>
    <w:rsid w:val="00C36E6D"/>
    <w:rsid w:val="00C40317"/>
    <w:rsid w:val="00C408C3"/>
    <w:rsid w:val="00C41E86"/>
    <w:rsid w:val="00C42D11"/>
    <w:rsid w:val="00C4725B"/>
    <w:rsid w:val="00C52934"/>
    <w:rsid w:val="00C53949"/>
    <w:rsid w:val="00C55776"/>
    <w:rsid w:val="00C56BAA"/>
    <w:rsid w:val="00C57648"/>
    <w:rsid w:val="00C61053"/>
    <w:rsid w:val="00C61709"/>
    <w:rsid w:val="00C61C9B"/>
    <w:rsid w:val="00C62285"/>
    <w:rsid w:val="00C631F8"/>
    <w:rsid w:val="00C63A16"/>
    <w:rsid w:val="00C641DB"/>
    <w:rsid w:val="00C703D5"/>
    <w:rsid w:val="00C7147D"/>
    <w:rsid w:val="00C72262"/>
    <w:rsid w:val="00C73943"/>
    <w:rsid w:val="00C7465F"/>
    <w:rsid w:val="00C75664"/>
    <w:rsid w:val="00C7756B"/>
    <w:rsid w:val="00C77EC8"/>
    <w:rsid w:val="00C82400"/>
    <w:rsid w:val="00C83B33"/>
    <w:rsid w:val="00C83BC4"/>
    <w:rsid w:val="00C843B6"/>
    <w:rsid w:val="00C85D9B"/>
    <w:rsid w:val="00C86D05"/>
    <w:rsid w:val="00C91367"/>
    <w:rsid w:val="00C91508"/>
    <w:rsid w:val="00C917E3"/>
    <w:rsid w:val="00C91A97"/>
    <w:rsid w:val="00C92C48"/>
    <w:rsid w:val="00C92F6D"/>
    <w:rsid w:val="00CA01DF"/>
    <w:rsid w:val="00CA2D30"/>
    <w:rsid w:val="00CA42A1"/>
    <w:rsid w:val="00CA6F65"/>
    <w:rsid w:val="00CA7442"/>
    <w:rsid w:val="00CA7DE0"/>
    <w:rsid w:val="00CB1465"/>
    <w:rsid w:val="00CB56C9"/>
    <w:rsid w:val="00CC0C7D"/>
    <w:rsid w:val="00CC18BB"/>
    <w:rsid w:val="00CC1C44"/>
    <w:rsid w:val="00CC2569"/>
    <w:rsid w:val="00CC44A7"/>
    <w:rsid w:val="00CC4D5A"/>
    <w:rsid w:val="00CC52F6"/>
    <w:rsid w:val="00CC5726"/>
    <w:rsid w:val="00CD0988"/>
    <w:rsid w:val="00CD0BA3"/>
    <w:rsid w:val="00CD523F"/>
    <w:rsid w:val="00CD5927"/>
    <w:rsid w:val="00CE00A5"/>
    <w:rsid w:val="00CE0B0B"/>
    <w:rsid w:val="00CE2447"/>
    <w:rsid w:val="00CE2C31"/>
    <w:rsid w:val="00CE365F"/>
    <w:rsid w:val="00CE45FB"/>
    <w:rsid w:val="00CF18FC"/>
    <w:rsid w:val="00CF2204"/>
    <w:rsid w:val="00CF3624"/>
    <w:rsid w:val="00CF5AF8"/>
    <w:rsid w:val="00CF624F"/>
    <w:rsid w:val="00D00478"/>
    <w:rsid w:val="00D03250"/>
    <w:rsid w:val="00D0433B"/>
    <w:rsid w:val="00D06450"/>
    <w:rsid w:val="00D0712E"/>
    <w:rsid w:val="00D10C7D"/>
    <w:rsid w:val="00D13A10"/>
    <w:rsid w:val="00D15314"/>
    <w:rsid w:val="00D15FEB"/>
    <w:rsid w:val="00D171B5"/>
    <w:rsid w:val="00D20ED8"/>
    <w:rsid w:val="00D21B12"/>
    <w:rsid w:val="00D2586E"/>
    <w:rsid w:val="00D30AD1"/>
    <w:rsid w:val="00D322EB"/>
    <w:rsid w:val="00D32F6B"/>
    <w:rsid w:val="00D34647"/>
    <w:rsid w:val="00D4006D"/>
    <w:rsid w:val="00D40721"/>
    <w:rsid w:val="00D42F8B"/>
    <w:rsid w:val="00D43600"/>
    <w:rsid w:val="00D460B3"/>
    <w:rsid w:val="00D463CD"/>
    <w:rsid w:val="00D46D69"/>
    <w:rsid w:val="00D46DB3"/>
    <w:rsid w:val="00D5126B"/>
    <w:rsid w:val="00D51336"/>
    <w:rsid w:val="00D526A9"/>
    <w:rsid w:val="00D527C0"/>
    <w:rsid w:val="00D53897"/>
    <w:rsid w:val="00D54D2B"/>
    <w:rsid w:val="00D54F26"/>
    <w:rsid w:val="00D54F65"/>
    <w:rsid w:val="00D55D6D"/>
    <w:rsid w:val="00D56EBE"/>
    <w:rsid w:val="00D60DB8"/>
    <w:rsid w:val="00D610D8"/>
    <w:rsid w:val="00D611C4"/>
    <w:rsid w:val="00D616C9"/>
    <w:rsid w:val="00D61A7A"/>
    <w:rsid w:val="00D62456"/>
    <w:rsid w:val="00D6402A"/>
    <w:rsid w:val="00D64F2F"/>
    <w:rsid w:val="00D67AFF"/>
    <w:rsid w:val="00D70D8D"/>
    <w:rsid w:val="00D71438"/>
    <w:rsid w:val="00D723A3"/>
    <w:rsid w:val="00D72A92"/>
    <w:rsid w:val="00D72D6E"/>
    <w:rsid w:val="00D73ECE"/>
    <w:rsid w:val="00D74113"/>
    <w:rsid w:val="00D74227"/>
    <w:rsid w:val="00D75561"/>
    <w:rsid w:val="00D755EE"/>
    <w:rsid w:val="00D80D69"/>
    <w:rsid w:val="00D81151"/>
    <w:rsid w:val="00D83793"/>
    <w:rsid w:val="00D83E45"/>
    <w:rsid w:val="00D90058"/>
    <w:rsid w:val="00D9033D"/>
    <w:rsid w:val="00D90607"/>
    <w:rsid w:val="00D9131A"/>
    <w:rsid w:val="00D9459A"/>
    <w:rsid w:val="00DA02AA"/>
    <w:rsid w:val="00DA03BD"/>
    <w:rsid w:val="00DA124B"/>
    <w:rsid w:val="00DA1C3E"/>
    <w:rsid w:val="00DA2A70"/>
    <w:rsid w:val="00DB06B9"/>
    <w:rsid w:val="00DB0840"/>
    <w:rsid w:val="00DB0EB3"/>
    <w:rsid w:val="00DB16CB"/>
    <w:rsid w:val="00DB1E0C"/>
    <w:rsid w:val="00DB3F38"/>
    <w:rsid w:val="00DB4EF2"/>
    <w:rsid w:val="00DB5917"/>
    <w:rsid w:val="00DB5E80"/>
    <w:rsid w:val="00DC21C9"/>
    <w:rsid w:val="00DC24B6"/>
    <w:rsid w:val="00DC4985"/>
    <w:rsid w:val="00DC50D4"/>
    <w:rsid w:val="00DC7C64"/>
    <w:rsid w:val="00DD03A0"/>
    <w:rsid w:val="00DD03AA"/>
    <w:rsid w:val="00DD08B2"/>
    <w:rsid w:val="00DD1375"/>
    <w:rsid w:val="00DD330D"/>
    <w:rsid w:val="00DD3F44"/>
    <w:rsid w:val="00DD6408"/>
    <w:rsid w:val="00DE3B5E"/>
    <w:rsid w:val="00DE3E3A"/>
    <w:rsid w:val="00DE59A5"/>
    <w:rsid w:val="00DF0285"/>
    <w:rsid w:val="00DF02B4"/>
    <w:rsid w:val="00DF0F4A"/>
    <w:rsid w:val="00DF21D0"/>
    <w:rsid w:val="00DF30F3"/>
    <w:rsid w:val="00DF407A"/>
    <w:rsid w:val="00DF5449"/>
    <w:rsid w:val="00E018DD"/>
    <w:rsid w:val="00E02D95"/>
    <w:rsid w:val="00E04C0A"/>
    <w:rsid w:val="00E054BB"/>
    <w:rsid w:val="00E057DD"/>
    <w:rsid w:val="00E06BCD"/>
    <w:rsid w:val="00E06D28"/>
    <w:rsid w:val="00E1043F"/>
    <w:rsid w:val="00E14478"/>
    <w:rsid w:val="00E14F25"/>
    <w:rsid w:val="00E162E1"/>
    <w:rsid w:val="00E21416"/>
    <w:rsid w:val="00E226A8"/>
    <w:rsid w:val="00E22AF7"/>
    <w:rsid w:val="00E22E07"/>
    <w:rsid w:val="00E249DD"/>
    <w:rsid w:val="00E25C22"/>
    <w:rsid w:val="00E266ED"/>
    <w:rsid w:val="00E4017A"/>
    <w:rsid w:val="00E418C2"/>
    <w:rsid w:val="00E43C54"/>
    <w:rsid w:val="00E43D51"/>
    <w:rsid w:val="00E44DF4"/>
    <w:rsid w:val="00E4503E"/>
    <w:rsid w:val="00E4537A"/>
    <w:rsid w:val="00E46913"/>
    <w:rsid w:val="00E51235"/>
    <w:rsid w:val="00E53293"/>
    <w:rsid w:val="00E5439E"/>
    <w:rsid w:val="00E55267"/>
    <w:rsid w:val="00E55683"/>
    <w:rsid w:val="00E562A7"/>
    <w:rsid w:val="00E62010"/>
    <w:rsid w:val="00E62DE9"/>
    <w:rsid w:val="00E661E5"/>
    <w:rsid w:val="00E7021D"/>
    <w:rsid w:val="00E70E23"/>
    <w:rsid w:val="00E75011"/>
    <w:rsid w:val="00E7729E"/>
    <w:rsid w:val="00E81BAB"/>
    <w:rsid w:val="00E82661"/>
    <w:rsid w:val="00E840FE"/>
    <w:rsid w:val="00E8697A"/>
    <w:rsid w:val="00E86D0A"/>
    <w:rsid w:val="00E918E4"/>
    <w:rsid w:val="00E96717"/>
    <w:rsid w:val="00EA08F0"/>
    <w:rsid w:val="00EA3769"/>
    <w:rsid w:val="00EA3CE2"/>
    <w:rsid w:val="00EA43AF"/>
    <w:rsid w:val="00EA4F01"/>
    <w:rsid w:val="00EA6C2C"/>
    <w:rsid w:val="00EA7BFB"/>
    <w:rsid w:val="00EB0772"/>
    <w:rsid w:val="00EB24D4"/>
    <w:rsid w:val="00EB2B0E"/>
    <w:rsid w:val="00EB3012"/>
    <w:rsid w:val="00EB31CF"/>
    <w:rsid w:val="00EB3FC3"/>
    <w:rsid w:val="00EB4548"/>
    <w:rsid w:val="00EB45E1"/>
    <w:rsid w:val="00EB5201"/>
    <w:rsid w:val="00EB5CE1"/>
    <w:rsid w:val="00EB6569"/>
    <w:rsid w:val="00EB7C6A"/>
    <w:rsid w:val="00EC0CF1"/>
    <w:rsid w:val="00EC16CD"/>
    <w:rsid w:val="00EC1A48"/>
    <w:rsid w:val="00EC1D55"/>
    <w:rsid w:val="00EC59A6"/>
    <w:rsid w:val="00EC6033"/>
    <w:rsid w:val="00ED1401"/>
    <w:rsid w:val="00ED2413"/>
    <w:rsid w:val="00ED4AFF"/>
    <w:rsid w:val="00EE00AA"/>
    <w:rsid w:val="00EE02CB"/>
    <w:rsid w:val="00EE0373"/>
    <w:rsid w:val="00EE2502"/>
    <w:rsid w:val="00EE2883"/>
    <w:rsid w:val="00EE2CAA"/>
    <w:rsid w:val="00EE75C5"/>
    <w:rsid w:val="00EE782D"/>
    <w:rsid w:val="00EF0509"/>
    <w:rsid w:val="00EF1474"/>
    <w:rsid w:val="00EF207D"/>
    <w:rsid w:val="00EF267D"/>
    <w:rsid w:val="00EF2BF9"/>
    <w:rsid w:val="00EF5215"/>
    <w:rsid w:val="00EF6771"/>
    <w:rsid w:val="00EF6F92"/>
    <w:rsid w:val="00EF78A3"/>
    <w:rsid w:val="00F00F79"/>
    <w:rsid w:val="00F01116"/>
    <w:rsid w:val="00F01A64"/>
    <w:rsid w:val="00F0757A"/>
    <w:rsid w:val="00F0759D"/>
    <w:rsid w:val="00F0759E"/>
    <w:rsid w:val="00F14083"/>
    <w:rsid w:val="00F14C0F"/>
    <w:rsid w:val="00F1740D"/>
    <w:rsid w:val="00F207F8"/>
    <w:rsid w:val="00F21109"/>
    <w:rsid w:val="00F232D0"/>
    <w:rsid w:val="00F25B68"/>
    <w:rsid w:val="00F2695D"/>
    <w:rsid w:val="00F31FC5"/>
    <w:rsid w:val="00F3297D"/>
    <w:rsid w:val="00F334C8"/>
    <w:rsid w:val="00F35E1F"/>
    <w:rsid w:val="00F362E9"/>
    <w:rsid w:val="00F400E7"/>
    <w:rsid w:val="00F405EB"/>
    <w:rsid w:val="00F41A6D"/>
    <w:rsid w:val="00F41F46"/>
    <w:rsid w:val="00F42BE4"/>
    <w:rsid w:val="00F432E6"/>
    <w:rsid w:val="00F465BC"/>
    <w:rsid w:val="00F54F5F"/>
    <w:rsid w:val="00F55223"/>
    <w:rsid w:val="00F561BC"/>
    <w:rsid w:val="00F56A85"/>
    <w:rsid w:val="00F57D6D"/>
    <w:rsid w:val="00F60002"/>
    <w:rsid w:val="00F604D7"/>
    <w:rsid w:val="00F615F6"/>
    <w:rsid w:val="00F64B14"/>
    <w:rsid w:val="00F67C52"/>
    <w:rsid w:val="00F7043F"/>
    <w:rsid w:val="00F7106F"/>
    <w:rsid w:val="00F7625D"/>
    <w:rsid w:val="00F77B7C"/>
    <w:rsid w:val="00F82B40"/>
    <w:rsid w:val="00F83EA2"/>
    <w:rsid w:val="00F87799"/>
    <w:rsid w:val="00F94F7B"/>
    <w:rsid w:val="00FA19C1"/>
    <w:rsid w:val="00FA2423"/>
    <w:rsid w:val="00FA5956"/>
    <w:rsid w:val="00FA65C3"/>
    <w:rsid w:val="00FA7B50"/>
    <w:rsid w:val="00FB0C32"/>
    <w:rsid w:val="00FB0C3D"/>
    <w:rsid w:val="00FB160E"/>
    <w:rsid w:val="00FB1D79"/>
    <w:rsid w:val="00FB231C"/>
    <w:rsid w:val="00FB249F"/>
    <w:rsid w:val="00FB2894"/>
    <w:rsid w:val="00FB2ADD"/>
    <w:rsid w:val="00FB3328"/>
    <w:rsid w:val="00FB4A7F"/>
    <w:rsid w:val="00FB56EA"/>
    <w:rsid w:val="00FB6127"/>
    <w:rsid w:val="00FB6ABE"/>
    <w:rsid w:val="00FB7655"/>
    <w:rsid w:val="00FB77CE"/>
    <w:rsid w:val="00FB7925"/>
    <w:rsid w:val="00FC3C2B"/>
    <w:rsid w:val="00FC5B0F"/>
    <w:rsid w:val="00FD17D1"/>
    <w:rsid w:val="00FD1E0E"/>
    <w:rsid w:val="00FD2220"/>
    <w:rsid w:val="00FD22FD"/>
    <w:rsid w:val="00FD2971"/>
    <w:rsid w:val="00FD6A7D"/>
    <w:rsid w:val="00FD6CE9"/>
    <w:rsid w:val="00FD76F6"/>
    <w:rsid w:val="00FE0D5A"/>
    <w:rsid w:val="00FE3E50"/>
    <w:rsid w:val="00FE461F"/>
    <w:rsid w:val="00FE4B17"/>
    <w:rsid w:val="00FE5F93"/>
    <w:rsid w:val="00FE7597"/>
    <w:rsid w:val="00FE7A8B"/>
    <w:rsid w:val="00FF08F2"/>
    <w:rsid w:val="00FF2B6D"/>
    <w:rsid w:val="00FF5F84"/>
    <w:rsid w:val="011249E2"/>
    <w:rsid w:val="011653AC"/>
    <w:rsid w:val="01286D46"/>
    <w:rsid w:val="013F1D8C"/>
    <w:rsid w:val="015E3410"/>
    <w:rsid w:val="01E60B3A"/>
    <w:rsid w:val="027440D4"/>
    <w:rsid w:val="02F42596"/>
    <w:rsid w:val="02F543E1"/>
    <w:rsid w:val="032A2951"/>
    <w:rsid w:val="034110E6"/>
    <w:rsid w:val="03455901"/>
    <w:rsid w:val="040840AA"/>
    <w:rsid w:val="04532970"/>
    <w:rsid w:val="046A7A8E"/>
    <w:rsid w:val="04FB466E"/>
    <w:rsid w:val="05310433"/>
    <w:rsid w:val="05514B36"/>
    <w:rsid w:val="05B443D0"/>
    <w:rsid w:val="05E93642"/>
    <w:rsid w:val="060141C4"/>
    <w:rsid w:val="062D65AB"/>
    <w:rsid w:val="06786EBE"/>
    <w:rsid w:val="06E37800"/>
    <w:rsid w:val="06F37F38"/>
    <w:rsid w:val="074C073D"/>
    <w:rsid w:val="07C90AA3"/>
    <w:rsid w:val="08A81E68"/>
    <w:rsid w:val="09690F7B"/>
    <w:rsid w:val="09915C82"/>
    <w:rsid w:val="09B6088D"/>
    <w:rsid w:val="09CD0730"/>
    <w:rsid w:val="09E54D34"/>
    <w:rsid w:val="0AE4744A"/>
    <w:rsid w:val="0AF12D0A"/>
    <w:rsid w:val="0BE06DA8"/>
    <w:rsid w:val="0BFC7141"/>
    <w:rsid w:val="0C2677F3"/>
    <w:rsid w:val="0C3523AD"/>
    <w:rsid w:val="0C5E6673"/>
    <w:rsid w:val="0CA335BB"/>
    <w:rsid w:val="0D3316B1"/>
    <w:rsid w:val="0DAE2D33"/>
    <w:rsid w:val="0DDD0C30"/>
    <w:rsid w:val="0E707646"/>
    <w:rsid w:val="0E741D95"/>
    <w:rsid w:val="0E933EA0"/>
    <w:rsid w:val="0EF13D6A"/>
    <w:rsid w:val="0F2D16CC"/>
    <w:rsid w:val="0F3246E5"/>
    <w:rsid w:val="0F4C2751"/>
    <w:rsid w:val="0F914980"/>
    <w:rsid w:val="0F916914"/>
    <w:rsid w:val="0FFC6756"/>
    <w:rsid w:val="10AD14E6"/>
    <w:rsid w:val="10C10A31"/>
    <w:rsid w:val="10CF7844"/>
    <w:rsid w:val="114E1169"/>
    <w:rsid w:val="118A6F26"/>
    <w:rsid w:val="11B552ED"/>
    <w:rsid w:val="11B63140"/>
    <w:rsid w:val="11C21413"/>
    <w:rsid w:val="11D100E1"/>
    <w:rsid w:val="11E90D4F"/>
    <w:rsid w:val="121F3DF6"/>
    <w:rsid w:val="12420136"/>
    <w:rsid w:val="124C5533"/>
    <w:rsid w:val="12507B2E"/>
    <w:rsid w:val="12793EE6"/>
    <w:rsid w:val="127D77D3"/>
    <w:rsid w:val="129D7109"/>
    <w:rsid w:val="12AC3175"/>
    <w:rsid w:val="12C009BE"/>
    <w:rsid w:val="12C96026"/>
    <w:rsid w:val="12F414CC"/>
    <w:rsid w:val="134D2DD2"/>
    <w:rsid w:val="134E7123"/>
    <w:rsid w:val="13873696"/>
    <w:rsid w:val="14110906"/>
    <w:rsid w:val="142758A2"/>
    <w:rsid w:val="143539A7"/>
    <w:rsid w:val="143F7442"/>
    <w:rsid w:val="1463687F"/>
    <w:rsid w:val="14E61A4B"/>
    <w:rsid w:val="15CF2FCA"/>
    <w:rsid w:val="15F96BD7"/>
    <w:rsid w:val="1610150B"/>
    <w:rsid w:val="16A46065"/>
    <w:rsid w:val="16DD3469"/>
    <w:rsid w:val="17162CE4"/>
    <w:rsid w:val="174C18CC"/>
    <w:rsid w:val="176068C7"/>
    <w:rsid w:val="179D1828"/>
    <w:rsid w:val="17A11539"/>
    <w:rsid w:val="17B50283"/>
    <w:rsid w:val="17CA4B9C"/>
    <w:rsid w:val="17D902AC"/>
    <w:rsid w:val="17FE7A0D"/>
    <w:rsid w:val="18195AAB"/>
    <w:rsid w:val="18791D0B"/>
    <w:rsid w:val="188F7345"/>
    <w:rsid w:val="18982CBB"/>
    <w:rsid w:val="18AE58F9"/>
    <w:rsid w:val="19067D19"/>
    <w:rsid w:val="19383609"/>
    <w:rsid w:val="196B1969"/>
    <w:rsid w:val="19E21AAB"/>
    <w:rsid w:val="19F439F5"/>
    <w:rsid w:val="1A1D2BC7"/>
    <w:rsid w:val="1A265731"/>
    <w:rsid w:val="1A400EF3"/>
    <w:rsid w:val="1A517AC6"/>
    <w:rsid w:val="1AA84527"/>
    <w:rsid w:val="1B097649"/>
    <w:rsid w:val="1B455613"/>
    <w:rsid w:val="1B9E0803"/>
    <w:rsid w:val="1BED2D51"/>
    <w:rsid w:val="1BFC7E64"/>
    <w:rsid w:val="1C1B7DE8"/>
    <w:rsid w:val="1C281433"/>
    <w:rsid w:val="1C6A5361"/>
    <w:rsid w:val="1C890FBC"/>
    <w:rsid w:val="1CD103AB"/>
    <w:rsid w:val="1D2E5511"/>
    <w:rsid w:val="1D372B23"/>
    <w:rsid w:val="1D4A1FE1"/>
    <w:rsid w:val="1D702566"/>
    <w:rsid w:val="1DD142C0"/>
    <w:rsid w:val="1DEA4D95"/>
    <w:rsid w:val="1E2563D7"/>
    <w:rsid w:val="1E406D17"/>
    <w:rsid w:val="1F1E2C1B"/>
    <w:rsid w:val="1F336B63"/>
    <w:rsid w:val="1F901DC4"/>
    <w:rsid w:val="20114BC3"/>
    <w:rsid w:val="201803F8"/>
    <w:rsid w:val="208B6A62"/>
    <w:rsid w:val="20E110ED"/>
    <w:rsid w:val="20F16450"/>
    <w:rsid w:val="214709BD"/>
    <w:rsid w:val="216F02C7"/>
    <w:rsid w:val="21AB1E92"/>
    <w:rsid w:val="21CC5644"/>
    <w:rsid w:val="21E675C0"/>
    <w:rsid w:val="221A72D8"/>
    <w:rsid w:val="22533C26"/>
    <w:rsid w:val="22664894"/>
    <w:rsid w:val="22C727C0"/>
    <w:rsid w:val="231B56EB"/>
    <w:rsid w:val="231F6568"/>
    <w:rsid w:val="232E01AB"/>
    <w:rsid w:val="235268D9"/>
    <w:rsid w:val="235866D2"/>
    <w:rsid w:val="236D7F45"/>
    <w:rsid w:val="238B45E8"/>
    <w:rsid w:val="23B1649A"/>
    <w:rsid w:val="246D532F"/>
    <w:rsid w:val="248C5332"/>
    <w:rsid w:val="251A1A69"/>
    <w:rsid w:val="2549242D"/>
    <w:rsid w:val="2579359B"/>
    <w:rsid w:val="257C34E2"/>
    <w:rsid w:val="258034E5"/>
    <w:rsid w:val="25A21092"/>
    <w:rsid w:val="25AF65E9"/>
    <w:rsid w:val="25C95435"/>
    <w:rsid w:val="25D64A2A"/>
    <w:rsid w:val="26492E00"/>
    <w:rsid w:val="26AC1532"/>
    <w:rsid w:val="278D5128"/>
    <w:rsid w:val="27C040EA"/>
    <w:rsid w:val="27DC04B8"/>
    <w:rsid w:val="280F52AA"/>
    <w:rsid w:val="28962C9B"/>
    <w:rsid w:val="28D25EC1"/>
    <w:rsid w:val="28EE3A45"/>
    <w:rsid w:val="291549E7"/>
    <w:rsid w:val="294B2438"/>
    <w:rsid w:val="29617C2B"/>
    <w:rsid w:val="2A45073C"/>
    <w:rsid w:val="2A5B19F9"/>
    <w:rsid w:val="2A7B252B"/>
    <w:rsid w:val="2A8F3E1F"/>
    <w:rsid w:val="2AE4078B"/>
    <w:rsid w:val="2B273D35"/>
    <w:rsid w:val="2B6C28F1"/>
    <w:rsid w:val="2B8D1F90"/>
    <w:rsid w:val="2BA07925"/>
    <w:rsid w:val="2BC07DC6"/>
    <w:rsid w:val="2C6D76F2"/>
    <w:rsid w:val="2CA74D3E"/>
    <w:rsid w:val="2DD2674F"/>
    <w:rsid w:val="2E1C3FE5"/>
    <w:rsid w:val="2E622491"/>
    <w:rsid w:val="2F1767D6"/>
    <w:rsid w:val="2F2309F5"/>
    <w:rsid w:val="2F444233"/>
    <w:rsid w:val="2F7A6F85"/>
    <w:rsid w:val="2FC85687"/>
    <w:rsid w:val="2FCB2238"/>
    <w:rsid w:val="2FDE524E"/>
    <w:rsid w:val="302E7D88"/>
    <w:rsid w:val="304F687C"/>
    <w:rsid w:val="307B6BF4"/>
    <w:rsid w:val="30D46353"/>
    <w:rsid w:val="31117372"/>
    <w:rsid w:val="31342FF2"/>
    <w:rsid w:val="315B2A66"/>
    <w:rsid w:val="318368B5"/>
    <w:rsid w:val="31BF7A88"/>
    <w:rsid w:val="31C5033B"/>
    <w:rsid w:val="31F82C19"/>
    <w:rsid w:val="321831A3"/>
    <w:rsid w:val="322F7CCF"/>
    <w:rsid w:val="3272034E"/>
    <w:rsid w:val="32924551"/>
    <w:rsid w:val="32F54310"/>
    <w:rsid w:val="32FA4CB9"/>
    <w:rsid w:val="338230F9"/>
    <w:rsid w:val="33BB23CD"/>
    <w:rsid w:val="33D90754"/>
    <w:rsid w:val="342F707B"/>
    <w:rsid w:val="348A69A1"/>
    <w:rsid w:val="34D05480"/>
    <w:rsid w:val="34ED781C"/>
    <w:rsid w:val="34EF7293"/>
    <w:rsid w:val="356D7905"/>
    <w:rsid w:val="35704D2C"/>
    <w:rsid w:val="35887DE9"/>
    <w:rsid w:val="35D00F81"/>
    <w:rsid w:val="35FA0D3D"/>
    <w:rsid w:val="36AC72BB"/>
    <w:rsid w:val="371E0C61"/>
    <w:rsid w:val="37362482"/>
    <w:rsid w:val="37427668"/>
    <w:rsid w:val="38161C91"/>
    <w:rsid w:val="385C7771"/>
    <w:rsid w:val="38751521"/>
    <w:rsid w:val="389C434D"/>
    <w:rsid w:val="38C004EB"/>
    <w:rsid w:val="38E14C30"/>
    <w:rsid w:val="39317303"/>
    <w:rsid w:val="39702FE9"/>
    <w:rsid w:val="39F1657C"/>
    <w:rsid w:val="3A096B7B"/>
    <w:rsid w:val="3A9770C2"/>
    <w:rsid w:val="3AD87E57"/>
    <w:rsid w:val="3B1A6CB8"/>
    <w:rsid w:val="3B60434A"/>
    <w:rsid w:val="3B8D4686"/>
    <w:rsid w:val="3CA76CDA"/>
    <w:rsid w:val="3CEE329F"/>
    <w:rsid w:val="3CF012BF"/>
    <w:rsid w:val="3D061AEE"/>
    <w:rsid w:val="3DD11B12"/>
    <w:rsid w:val="3E1C3224"/>
    <w:rsid w:val="3EA33D1B"/>
    <w:rsid w:val="3EBD60DB"/>
    <w:rsid w:val="3F647AAA"/>
    <w:rsid w:val="3F871111"/>
    <w:rsid w:val="3F963152"/>
    <w:rsid w:val="3FCC55AB"/>
    <w:rsid w:val="400052E3"/>
    <w:rsid w:val="40043C9F"/>
    <w:rsid w:val="4010114F"/>
    <w:rsid w:val="40136AC9"/>
    <w:rsid w:val="408A2C60"/>
    <w:rsid w:val="408F5783"/>
    <w:rsid w:val="40BA3D4A"/>
    <w:rsid w:val="40CB615F"/>
    <w:rsid w:val="41102259"/>
    <w:rsid w:val="417D7698"/>
    <w:rsid w:val="41983AED"/>
    <w:rsid w:val="41D2442C"/>
    <w:rsid w:val="424108C9"/>
    <w:rsid w:val="42570BB1"/>
    <w:rsid w:val="428B2EA2"/>
    <w:rsid w:val="42A82264"/>
    <w:rsid w:val="42AA6805"/>
    <w:rsid w:val="432C6F71"/>
    <w:rsid w:val="43384D59"/>
    <w:rsid w:val="433B2091"/>
    <w:rsid w:val="43404739"/>
    <w:rsid w:val="435A2178"/>
    <w:rsid w:val="436B2EAE"/>
    <w:rsid w:val="437E2851"/>
    <w:rsid w:val="43923FE9"/>
    <w:rsid w:val="43A665F2"/>
    <w:rsid w:val="43B0090B"/>
    <w:rsid w:val="43FF5B6C"/>
    <w:rsid w:val="440E1A9B"/>
    <w:rsid w:val="4464156E"/>
    <w:rsid w:val="44897734"/>
    <w:rsid w:val="44D301C7"/>
    <w:rsid w:val="44E666B0"/>
    <w:rsid w:val="450A3EEF"/>
    <w:rsid w:val="45474335"/>
    <w:rsid w:val="45685A68"/>
    <w:rsid w:val="46087B61"/>
    <w:rsid w:val="4670299D"/>
    <w:rsid w:val="46B27703"/>
    <w:rsid w:val="46BC57B6"/>
    <w:rsid w:val="472874C6"/>
    <w:rsid w:val="474F25CC"/>
    <w:rsid w:val="47A65FCE"/>
    <w:rsid w:val="47E67532"/>
    <w:rsid w:val="47E93A0F"/>
    <w:rsid w:val="4814224F"/>
    <w:rsid w:val="491445DE"/>
    <w:rsid w:val="494F0AB4"/>
    <w:rsid w:val="495F53E5"/>
    <w:rsid w:val="49733E66"/>
    <w:rsid w:val="49CB1AE9"/>
    <w:rsid w:val="49E756B5"/>
    <w:rsid w:val="4A3B1C68"/>
    <w:rsid w:val="4A7779D0"/>
    <w:rsid w:val="4B2D23A4"/>
    <w:rsid w:val="4B5921AE"/>
    <w:rsid w:val="4BAB1173"/>
    <w:rsid w:val="4BC2660C"/>
    <w:rsid w:val="4BD92CF5"/>
    <w:rsid w:val="4BFB6762"/>
    <w:rsid w:val="4C105589"/>
    <w:rsid w:val="4C7B5768"/>
    <w:rsid w:val="4CA10088"/>
    <w:rsid w:val="4CA16D51"/>
    <w:rsid w:val="4CD20A0E"/>
    <w:rsid w:val="4D1571AA"/>
    <w:rsid w:val="4D4806BD"/>
    <w:rsid w:val="4D4E3542"/>
    <w:rsid w:val="4DA01087"/>
    <w:rsid w:val="4DB63D8E"/>
    <w:rsid w:val="4DFB6203"/>
    <w:rsid w:val="4F0F6C60"/>
    <w:rsid w:val="4F45670D"/>
    <w:rsid w:val="4F9B1B8F"/>
    <w:rsid w:val="4FBC109D"/>
    <w:rsid w:val="4FC47F22"/>
    <w:rsid w:val="502B5BB2"/>
    <w:rsid w:val="50753827"/>
    <w:rsid w:val="50C44992"/>
    <w:rsid w:val="50C51A99"/>
    <w:rsid w:val="50FB46D3"/>
    <w:rsid w:val="51371624"/>
    <w:rsid w:val="514C0BD9"/>
    <w:rsid w:val="517F225C"/>
    <w:rsid w:val="51D301E6"/>
    <w:rsid w:val="51EB0BE9"/>
    <w:rsid w:val="5290003C"/>
    <w:rsid w:val="52EC0B5C"/>
    <w:rsid w:val="535F52A8"/>
    <w:rsid w:val="53AA60B1"/>
    <w:rsid w:val="53B96868"/>
    <w:rsid w:val="544C48F7"/>
    <w:rsid w:val="54725878"/>
    <w:rsid w:val="54754293"/>
    <w:rsid w:val="549F4EDF"/>
    <w:rsid w:val="54D05653"/>
    <w:rsid w:val="55194935"/>
    <w:rsid w:val="558511B6"/>
    <w:rsid w:val="558A5735"/>
    <w:rsid w:val="55911B6F"/>
    <w:rsid w:val="55B4772A"/>
    <w:rsid w:val="567D124B"/>
    <w:rsid w:val="56D5224D"/>
    <w:rsid w:val="57061706"/>
    <w:rsid w:val="571457A4"/>
    <w:rsid w:val="571D5F2E"/>
    <w:rsid w:val="572D5A98"/>
    <w:rsid w:val="57637710"/>
    <w:rsid w:val="57C36AAF"/>
    <w:rsid w:val="57F837CA"/>
    <w:rsid w:val="582500D2"/>
    <w:rsid w:val="586E4E4F"/>
    <w:rsid w:val="59045D31"/>
    <w:rsid w:val="590C2B59"/>
    <w:rsid w:val="593A1837"/>
    <w:rsid w:val="59493BC3"/>
    <w:rsid w:val="5972315B"/>
    <w:rsid w:val="597C64EA"/>
    <w:rsid w:val="5AA40051"/>
    <w:rsid w:val="5AFC3887"/>
    <w:rsid w:val="5BB8433F"/>
    <w:rsid w:val="5BFD6956"/>
    <w:rsid w:val="5C520E2E"/>
    <w:rsid w:val="5CAC724E"/>
    <w:rsid w:val="5CB11516"/>
    <w:rsid w:val="5CCF5720"/>
    <w:rsid w:val="5CD10545"/>
    <w:rsid w:val="5D5732F7"/>
    <w:rsid w:val="5D714BE8"/>
    <w:rsid w:val="5D735E4C"/>
    <w:rsid w:val="5DC025BC"/>
    <w:rsid w:val="5E4078CF"/>
    <w:rsid w:val="5E7519D4"/>
    <w:rsid w:val="5E8A1C57"/>
    <w:rsid w:val="5EC9349B"/>
    <w:rsid w:val="5F2B12E2"/>
    <w:rsid w:val="5F970C5C"/>
    <w:rsid w:val="5FC078E1"/>
    <w:rsid w:val="607023B0"/>
    <w:rsid w:val="6077704A"/>
    <w:rsid w:val="607E37B1"/>
    <w:rsid w:val="61B14C60"/>
    <w:rsid w:val="620A4941"/>
    <w:rsid w:val="621F21B2"/>
    <w:rsid w:val="62841397"/>
    <w:rsid w:val="629127CF"/>
    <w:rsid w:val="62B649D2"/>
    <w:rsid w:val="62D17190"/>
    <w:rsid w:val="62E9056D"/>
    <w:rsid w:val="62ED59D5"/>
    <w:rsid w:val="63D6187A"/>
    <w:rsid w:val="63D8052C"/>
    <w:rsid w:val="63E41F2B"/>
    <w:rsid w:val="63EC7A50"/>
    <w:rsid w:val="640E6FBF"/>
    <w:rsid w:val="647174F1"/>
    <w:rsid w:val="64AC3E27"/>
    <w:rsid w:val="65072F6B"/>
    <w:rsid w:val="653057C3"/>
    <w:rsid w:val="65CC61C1"/>
    <w:rsid w:val="65F87084"/>
    <w:rsid w:val="65FE08C0"/>
    <w:rsid w:val="667D56A6"/>
    <w:rsid w:val="669E083E"/>
    <w:rsid w:val="66AF53EA"/>
    <w:rsid w:val="670241DF"/>
    <w:rsid w:val="6707527C"/>
    <w:rsid w:val="67450013"/>
    <w:rsid w:val="679F2B2C"/>
    <w:rsid w:val="67CD1413"/>
    <w:rsid w:val="67D13A1C"/>
    <w:rsid w:val="69051BB7"/>
    <w:rsid w:val="692B444C"/>
    <w:rsid w:val="693A2385"/>
    <w:rsid w:val="69524C9B"/>
    <w:rsid w:val="698D622B"/>
    <w:rsid w:val="698E2495"/>
    <w:rsid w:val="69B83DFA"/>
    <w:rsid w:val="69F81FB0"/>
    <w:rsid w:val="6A2E4FE1"/>
    <w:rsid w:val="6A5920DE"/>
    <w:rsid w:val="6A714E58"/>
    <w:rsid w:val="6A7F7E58"/>
    <w:rsid w:val="6B040BA7"/>
    <w:rsid w:val="6B444CD2"/>
    <w:rsid w:val="6B4B1748"/>
    <w:rsid w:val="6B830283"/>
    <w:rsid w:val="6B847DEE"/>
    <w:rsid w:val="6BBB75C3"/>
    <w:rsid w:val="6C115FCC"/>
    <w:rsid w:val="6C367AF0"/>
    <w:rsid w:val="6C904BE6"/>
    <w:rsid w:val="6CBC7442"/>
    <w:rsid w:val="6CD96F9D"/>
    <w:rsid w:val="6D535D8B"/>
    <w:rsid w:val="6D5F5158"/>
    <w:rsid w:val="6DA941F3"/>
    <w:rsid w:val="6DAD7022"/>
    <w:rsid w:val="6E191746"/>
    <w:rsid w:val="6E472219"/>
    <w:rsid w:val="6E8756A7"/>
    <w:rsid w:val="6E9C6E33"/>
    <w:rsid w:val="6EFC3F1F"/>
    <w:rsid w:val="6F0A48A5"/>
    <w:rsid w:val="6F10052E"/>
    <w:rsid w:val="6F6165C5"/>
    <w:rsid w:val="6F765FCF"/>
    <w:rsid w:val="6F984559"/>
    <w:rsid w:val="6FB32E4B"/>
    <w:rsid w:val="70283E84"/>
    <w:rsid w:val="70CD31B8"/>
    <w:rsid w:val="71C832FC"/>
    <w:rsid w:val="726619A7"/>
    <w:rsid w:val="72984F6C"/>
    <w:rsid w:val="72A20270"/>
    <w:rsid w:val="732F2816"/>
    <w:rsid w:val="733A4B78"/>
    <w:rsid w:val="739C792A"/>
    <w:rsid w:val="73F27AC3"/>
    <w:rsid w:val="7422067B"/>
    <w:rsid w:val="7491210E"/>
    <w:rsid w:val="74BB67A7"/>
    <w:rsid w:val="74C85654"/>
    <w:rsid w:val="753C7CD1"/>
    <w:rsid w:val="75666A34"/>
    <w:rsid w:val="7567382C"/>
    <w:rsid w:val="7579353C"/>
    <w:rsid w:val="75936634"/>
    <w:rsid w:val="75E551B5"/>
    <w:rsid w:val="75E974D7"/>
    <w:rsid w:val="765421A8"/>
    <w:rsid w:val="76B65943"/>
    <w:rsid w:val="76D7793D"/>
    <w:rsid w:val="77817E8A"/>
    <w:rsid w:val="77E926AF"/>
    <w:rsid w:val="78172067"/>
    <w:rsid w:val="7865749A"/>
    <w:rsid w:val="78F659DA"/>
    <w:rsid w:val="7901733B"/>
    <w:rsid w:val="79153150"/>
    <w:rsid w:val="792D6664"/>
    <w:rsid w:val="799779DB"/>
    <w:rsid w:val="799D7BED"/>
    <w:rsid w:val="79AA2A83"/>
    <w:rsid w:val="79D64836"/>
    <w:rsid w:val="7A0244EE"/>
    <w:rsid w:val="7A240FFF"/>
    <w:rsid w:val="7A3E1C40"/>
    <w:rsid w:val="7A6A1115"/>
    <w:rsid w:val="7A935B27"/>
    <w:rsid w:val="7B597114"/>
    <w:rsid w:val="7B992080"/>
    <w:rsid w:val="7BBF61A1"/>
    <w:rsid w:val="7BEA0F24"/>
    <w:rsid w:val="7C232A03"/>
    <w:rsid w:val="7C2F7B4F"/>
    <w:rsid w:val="7C9F3DC7"/>
    <w:rsid w:val="7CA82E55"/>
    <w:rsid w:val="7D4C2DE7"/>
    <w:rsid w:val="7D944A1D"/>
    <w:rsid w:val="7DF43212"/>
    <w:rsid w:val="7DFD5530"/>
    <w:rsid w:val="7E266CBD"/>
    <w:rsid w:val="7E622B77"/>
    <w:rsid w:val="7E722009"/>
    <w:rsid w:val="7EB821A8"/>
    <w:rsid w:val="7EC25C3E"/>
    <w:rsid w:val="7ED338C0"/>
    <w:rsid w:val="7EE51368"/>
    <w:rsid w:val="7EF664BA"/>
    <w:rsid w:val="7F2B51AB"/>
    <w:rsid w:val="7F3928F0"/>
    <w:rsid w:val="7F48304E"/>
    <w:rsid w:val="7FA73E55"/>
    <w:rsid w:val="7FBF5D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qFormat="1"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4">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ody Text Indent"/>
    <w:basedOn w:val="1"/>
    <w:qFormat/>
    <w:uiPriority w:val="0"/>
    <w:pPr>
      <w:ind w:firstLine="576"/>
    </w:pPr>
    <w:rPr>
      <w:rFonts w:ascii="仿宋_GB2312" w:eastAsia="仿宋_GB2312"/>
      <w:sz w:val="28"/>
      <w:szCs w:val="24"/>
    </w:rPr>
  </w:style>
  <w:style w:type="paragraph" w:styleId="4">
    <w:name w:val="Plain Text"/>
    <w:basedOn w:val="1"/>
    <w:link w:val="18"/>
    <w:qFormat/>
    <w:uiPriority w:val="99"/>
    <w:rPr>
      <w:rFonts w:ascii="宋体" w:hAnsi="Courier New"/>
    </w:rPr>
  </w:style>
  <w:style w:type="paragraph" w:styleId="5">
    <w:name w:val="Date"/>
    <w:basedOn w:val="1"/>
    <w:next w:val="1"/>
    <w:qFormat/>
    <w:uiPriority w:val="0"/>
    <w:pPr>
      <w:adjustRightInd w:val="0"/>
      <w:spacing w:line="312" w:lineRule="atLeast"/>
      <w:jc w:val="right"/>
      <w:textAlignment w:val="baseline"/>
    </w:pPr>
    <w:rPr>
      <w:kern w:val="0"/>
    </w:rPr>
  </w:style>
  <w:style w:type="paragraph" w:styleId="6">
    <w:name w:val="Balloon Text"/>
    <w:basedOn w:val="1"/>
    <w:semiHidden/>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2"/>
    <w:next w:val="2"/>
    <w:link w:val="21"/>
    <w:qFormat/>
    <w:uiPriority w:val="0"/>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customStyle="1" w:styleId="17">
    <w:name w:val="批注文字 Char"/>
    <w:link w:val="2"/>
    <w:qFormat/>
    <w:uiPriority w:val="0"/>
    <w:rPr>
      <w:kern w:val="2"/>
      <w:sz w:val="21"/>
    </w:rPr>
  </w:style>
  <w:style w:type="character" w:customStyle="1" w:styleId="18">
    <w:name w:val="纯文本 Char"/>
    <w:link w:val="4"/>
    <w:qFormat/>
    <w:uiPriority w:val="99"/>
    <w:rPr>
      <w:rFonts w:ascii="宋体" w:hAnsi="Courier New"/>
      <w:kern w:val="2"/>
      <w:sz w:val="21"/>
    </w:rPr>
  </w:style>
  <w:style w:type="character" w:customStyle="1" w:styleId="19">
    <w:name w:val="页脚 Char"/>
    <w:link w:val="7"/>
    <w:qFormat/>
    <w:uiPriority w:val="0"/>
    <w:rPr>
      <w:kern w:val="2"/>
      <w:sz w:val="18"/>
      <w:szCs w:val="18"/>
    </w:rPr>
  </w:style>
  <w:style w:type="character" w:customStyle="1" w:styleId="20">
    <w:name w:val="页眉 Char"/>
    <w:link w:val="8"/>
    <w:qFormat/>
    <w:uiPriority w:val="0"/>
    <w:rPr>
      <w:kern w:val="2"/>
      <w:sz w:val="18"/>
      <w:szCs w:val="18"/>
    </w:rPr>
  </w:style>
  <w:style w:type="character" w:customStyle="1" w:styleId="21">
    <w:name w:val="批注主题 Char"/>
    <w:link w:val="10"/>
    <w:qFormat/>
    <w:uiPriority w:val="0"/>
    <w:rPr>
      <w:b/>
      <w:bCs/>
      <w:kern w:val="2"/>
      <w:sz w:val="21"/>
    </w:rPr>
  </w:style>
  <w:style w:type="paragraph" w:customStyle="1" w:styleId="22">
    <w:name w:val="CM3"/>
    <w:basedOn w:val="1"/>
    <w:next w:val="1"/>
    <w:qFormat/>
    <w:uiPriority w:val="0"/>
    <w:pPr>
      <w:autoSpaceDE w:val="0"/>
      <w:autoSpaceDN w:val="0"/>
      <w:adjustRightInd w:val="0"/>
      <w:spacing w:after="468"/>
      <w:jc w:val="left"/>
    </w:pPr>
    <w:rPr>
      <w:rFonts w:ascii="宋体"/>
      <w:kern w:val="0"/>
      <w:sz w:val="24"/>
      <w:szCs w:val="24"/>
    </w:rPr>
  </w:style>
  <w:style w:type="paragraph" w:customStyle="1" w:styleId="23">
    <w:name w:val=" Char Char Char Char Char Char Char Char Char"/>
    <w:basedOn w:val="1"/>
    <w:qFormat/>
    <w:uiPriority w:val="0"/>
    <w:pPr>
      <w:numPr>
        <w:ilvl w:val="0"/>
        <w:numId w:val="1"/>
      </w:numPr>
    </w:pPr>
    <w:rPr>
      <w:sz w:val="24"/>
      <w:szCs w:val="24"/>
    </w:rPr>
  </w:style>
  <w:style w:type="paragraph" w:customStyle="1" w:styleId="24">
    <w:name w:val="CM2"/>
    <w:basedOn w:val="1"/>
    <w:next w:val="1"/>
    <w:qFormat/>
    <w:uiPriority w:val="0"/>
    <w:pPr>
      <w:autoSpaceDE w:val="0"/>
      <w:autoSpaceDN w:val="0"/>
      <w:adjustRightInd w:val="0"/>
      <w:spacing w:line="511" w:lineRule="atLeast"/>
      <w:jc w:val="left"/>
    </w:pPr>
    <w:rPr>
      <w:rFonts w:ascii="宋体"/>
      <w:kern w:val="0"/>
      <w:sz w:val="24"/>
      <w:szCs w:val="24"/>
    </w:rPr>
  </w:style>
  <w:style w:type="paragraph" w:customStyle="1" w:styleId="2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6">
    <w:name w:val="fontstyle01"/>
    <w:qFormat/>
    <w:uiPriority w:val="0"/>
    <w:rPr>
      <w:rFonts w:hint="eastAsia" w:ascii="宋体" w:hAnsi="宋体" w:eastAsia="宋体"/>
      <w:color w:val="000000"/>
      <w:sz w:val="24"/>
      <w:szCs w:val="24"/>
    </w:rPr>
  </w:style>
  <w:style w:type="paragraph" w:customStyle="1" w:styleId="27">
    <w:name w:val="CM11"/>
    <w:basedOn w:val="1"/>
    <w:next w:val="1"/>
    <w:qFormat/>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8">
    <w:name w:val="CM10"/>
    <w:basedOn w:val="25"/>
    <w:next w:val="25"/>
    <w:qFormat/>
    <w:uiPriority w:val="0"/>
    <w:pPr>
      <w:spacing w:after="723"/>
    </w:pPr>
    <w:rPr>
      <w:rFonts w:ascii="黑体" w:hAnsi="Times New Roman" w:eastAsia="黑体" w:cs="Times New Roman"/>
      <w:color w:val="auto"/>
    </w:rPr>
  </w:style>
  <w:style w:type="paragraph" w:styleId="29">
    <w:name w:val="List Paragraph"/>
    <w:basedOn w:val="1"/>
    <w:qFormat/>
    <w:uiPriority w:val="34"/>
    <w:pPr>
      <w:ind w:firstLine="420" w:firstLineChars="200"/>
    </w:pPr>
  </w:style>
  <w:style w:type="character" w:customStyle="1" w:styleId="30">
    <w:name w:val="font31"/>
    <w:basedOn w:val="14"/>
    <w:qFormat/>
    <w:uiPriority w:val="0"/>
    <w:rPr>
      <w:rFonts w:ascii="Arial" w:hAnsi="Arial" w:cs="Arial"/>
      <w:color w:val="262424"/>
      <w:sz w:val="22"/>
      <w:szCs w:val="22"/>
      <w:u w:val="none"/>
    </w:rPr>
  </w:style>
  <w:style w:type="character" w:customStyle="1" w:styleId="31">
    <w:name w:val="font21"/>
    <w:basedOn w:val="14"/>
    <w:qFormat/>
    <w:uiPriority w:val="0"/>
    <w:rPr>
      <w:rFonts w:hint="eastAsia" w:ascii="黑体" w:hAnsi="宋体" w:eastAsia="黑体" w:cs="黑体"/>
      <w:color w:val="262424"/>
      <w:sz w:val="22"/>
      <w:szCs w:val="22"/>
      <w:u w:val="none"/>
    </w:rPr>
  </w:style>
  <w:style w:type="character" w:customStyle="1" w:styleId="32">
    <w:name w:val="font01"/>
    <w:basedOn w:val="14"/>
    <w:qFormat/>
    <w:uiPriority w:val="0"/>
    <w:rPr>
      <w:rFonts w:ascii="Arial" w:hAnsi="Arial" w:cs="Arial"/>
      <w:color w:val="262424"/>
      <w:sz w:val="18"/>
      <w:szCs w:val="18"/>
      <w:u w:val="none"/>
    </w:rPr>
  </w:style>
  <w:style w:type="character" w:customStyle="1" w:styleId="33">
    <w:name w:val="font11"/>
    <w:basedOn w:val="14"/>
    <w:qFormat/>
    <w:uiPriority w:val="0"/>
    <w:rPr>
      <w:rFonts w:hint="eastAsia" w:ascii="宋体" w:hAnsi="宋体" w:eastAsia="宋体" w:cs="宋体"/>
      <w:color w:val="262424"/>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188</Words>
  <Characters>1072</Characters>
  <Lines>8</Lines>
  <Paragraphs>2</Paragraphs>
  <TotalTime>6</TotalTime>
  <ScaleCrop>false</ScaleCrop>
  <LinksUpToDate>false</LinksUpToDate>
  <CharactersWithSpaces>1258</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2020-07-06T01:21:00Z</dcterms:created>
  <dc:creator>qw</dc:creator>
  <cp:lastModifiedBy>牟海涛</cp:lastModifiedBy>
  <cp:lastPrinted>2017-05-27T01:49:00Z</cp:lastPrinted>
  <dcterms:modified xsi:type="dcterms:W3CDTF">2023-10-26T08:55:57Z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