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Look w:val="04A0" w:firstRow="1" w:lastRow="0" w:firstColumn="1" w:lastColumn="0" w:noHBand="0" w:noVBand="1"/>
      </w:tblPr>
      <w:tblGrid>
        <w:gridCol w:w="2768"/>
        <w:gridCol w:w="2769"/>
        <w:gridCol w:w="2769"/>
      </w:tblGrid>
      <w:tr w:rsidR="004F2203" w14:paraId="3BFB2DA1" w14:textId="77777777">
        <w:tc>
          <w:tcPr>
            <w:tcW w:w="1666" w:type="pct"/>
          </w:tcPr>
          <w:p w14:paraId="4A24E671" w14:textId="77777777" w:rsidR="004F2203" w:rsidRDefault="00000000">
            <w:pPr>
              <w:adjustRightInd w:val="0"/>
              <w:snapToGrid w:val="0"/>
              <w:spacing w:line="440" w:lineRule="exact"/>
              <w:rPr>
                <w:rFonts w:ascii="Times New Roman" w:eastAsia="宋体" w:hAnsi="Times New Roman" w:cs="Times New Roman"/>
                <w:sz w:val="24"/>
              </w:rPr>
            </w:pPr>
            <w:r>
              <w:rPr>
                <w:rFonts w:ascii="Times New Roman" w:eastAsia="宋体" w:hAnsi="Times New Roman" w:cs="Times New Roman"/>
                <w:sz w:val="24"/>
              </w:rPr>
              <w:t>证券代码：</w:t>
            </w:r>
            <w:r>
              <w:rPr>
                <w:rFonts w:ascii="Times New Roman" w:eastAsia="宋体" w:hAnsi="Times New Roman" w:cs="Times New Roman"/>
                <w:sz w:val="24"/>
              </w:rPr>
              <w:t>000881</w:t>
            </w:r>
          </w:p>
        </w:tc>
        <w:tc>
          <w:tcPr>
            <w:tcW w:w="1667" w:type="pct"/>
          </w:tcPr>
          <w:p w14:paraId="04A96368" w14:textId="77777777" w:rsidR="004F2203" w:rsidRDefault="00000000">
            <w:pPr>
              <w:adjustRightInd w:val="0"/>
              <w:snapToGrid w:val="0"/>
              <w:spacing w:line="440" w:lineRule="exact"/>
              <w:jc w:val="center"/>
              <w:rPr>
                <w:rFonts w:ascii="Times New Roman" w:eastAsia="宋体" w:hAnsi="Times New Roman" w:cs="Times New Roman"/>
                <w:sz w:val="24"/>
              </w:rPr>
            </w:pPr>
            <w:r>
              <w:rPr>
                <w:rFonts w:ascii="Times New Roman" w:eastAsia="宋体" w:hAnsi="Times New Roman" w:cs="Times New Roman"/>
                <w:sz w:val="24"/>
              </w:rPr>
              <w:t>证券简称：中广核技</w:t>
            </w:r>
          </w:p>
        </w:tc>
        <w:tc>
          <w:tcPr>
            <w:tcW w:w="1667" w:type="pct"/>
          </w:tcPr>
          <w:p w14:paraId="715744E6" w14:textId="77777777" w:rsidR="004F2203" w:rsidRDefault="00000000">
            <w:pPr>
              <w:adjustRightInd w:val="0"/>
              <w:snapToGrid w:val="0"/>
              <w:spacing w:line="440" w:lineRule="exact"/>
              <w:jc w:val="right"/>
              <w:rPr>
                <w:rFonts w:ascii="Times New Roman" w:eastAsia="宋体" w:hAnsi="Times New Roman" w:cs="Times New Roman"/>
                <w:sz w:val="24"/>
              </w:rPr>
            </w:pPr>
            <w:r>
              <w:rPr>
                <w:rFonts w:ascii="Times New Roman" w:eastAsia="宋体" w:hAnsi="Times New Roman" w:cs="Times New Roman"/>
                <w:sz w:val="24"/>
              </w:rPr>
              <w:t>公告编号：</w:t>
            </w:r>
            <w:r>
              <w:rPr>
                <w:rFonts w:ascii="Times New Roman" w:eastAsia="宋体" w:hAnsi="Times New Roman" w:cs="Times New Roman"/>
                <w:sz w:val="24"/>
              </w:rPr>
              <w:t>2023-069</w:t>
            </w:r>
          </w:p>
        </w:tc>
      </w:tr>
    </w:tbl>
    <w:p w14:paraId="2E125FEB" w14:textId="77777777" w:rsidR="004F2203" w:rsidRDefault="00000000">
      <w:pPr>
        <w:snapToGrid w:val="0"/>
        <w:spacing w:beforeLines="50" w:before="156"/>
        <w:jc w:val="center"/>
        <w:rPr>
          <w:rFonts w:ascii="Times New Roman" w:eastAsia="宋体" w:hAnsi="Times New Roman" w:cs="Times New Roman"/>
          <w:b/>
          <w:sz w:val="36"/>
          <w:szCs w:val="36"/>
        </w:rPr>
      </w:pPr>
      <w:r>
        <w:rPr>
          <w:rFonts w:ascii="Times New Roman" w:eastAsia="宋体" w:hAnsi="Times New Roman" w:cs="Times New Roman"/>
          <w:b/>
          <w:sz w:val="36"/>
          <w:szCs w:val="36"/>
        </w:rPr>
        <w:t>中广核核技术发展股份有限公司</w:t>
      </w:r>
    </w:p>
    <w:p w14:paraId="11F67977" w14:textId="77777777" w:rsidR="004F2203" w:rsidRDefault="00000000">
      <w:pPr>
        <w:snapToGrid w:val="0"/>
        <w:jc w:val="center"/>
        <w:rPr>
          <w:rFonts w:ascii="Times New Roman" w:eastAsia="宋体" w:hAnsi="Times New Roman" w:cs="Times New Roman"/>
          <w:b/>
          <w:sz w:val="36"/>
          <w:szCs w:val="36"/>
        </w:rPr>
      </w:pPr>
      <w:r>
        <w:rPr>
          <w:rFonts w:ascii="Times New Roman" w:eastAsia="宋体" w:hAnsi="Times New Roman" w:cs="Times New Roman" w:hint="eastAsia"/>
          <w:b/>
          <w:sz w:val="36"/>
          <w:szCs w:val="36"/>
        </w:rPr>
        <w:t>关于</w:t>
      </w:r>
      <w:r>
        <w:rPr>
          <w:rFonts w:ascii="Times New Roman" w:eastAsia="宋体" w:hAnsi="Times New Roman" w:cs="Times New Roman"/>
          <w:b/>
          <w:sz w:val="36"/>
          <w:szCs w:val="36"/>
        </w:rPr>
        <w:t>拟调整发行股份及支付现金购买资产暨关联交易事项的停牌公告</w:t>
      </w:r>
    </w:p>
    <w:p w14:paraId="379E7B76" w14:textId="77777777" w:rsidR="004F2203" w:rsidRDefault="00000000">
      <w:pPr>
        <w:snapToGrid w:val="0"/>
        <w:spacing w:beforeLines="100" w:before="312" w:line="360" w:lineRule="auto"/>
        <w:ind w:firstLineChars="200" w:firstLine="422"/>
        <w:rPr>
          <w:rFonts w:ascii="Times New Roman" w:eastAsia="宋体" w:hAnsi="Times New Roman" w:cs="Times New Roman"/>
          <w:b/>
          <w:szCs w:val="21"/>
        </w:rPr>
      </w:pPr>
      <w:r>
        <w:rPr>
          <w:rFonts w:ascii="Times New Roman" w:eastAsia="宋体" w:hAnsi="Times New Roman" w:cs="Times New Roman"/>
          <w:b/>
          <w:szCs w:val="21"/>
        </w:rPr>
        <w:t>本公司及董事会全体成员保证信息披露的内容真实、准确、完整，没有虚假记载、误导性陈述或者重大遗漏。</w:t>
      </w:r>
    </w:p>
    <w:p w14:paraId="55F31E4E" w14:textId="77777777" w:rsidR="004F2203" w:rsidRDefault="00000000">
      <w:pPr>
        <w:spacing w:line="360" w:lineRule="auto"/>
        <w:ind w:firstLineChars="200" w:firstLine="482"/>
        <w:outlineLvl w:val="0"/>
        <w:rPr>
          <w:rFonts w:ascii="Times New Roman" w:eastAsia="宋体" w:hAnsi="Times New Roman" w:cs="Times New Roman"/>
          <w:b/>
          <w:sz w:val="24"/>
          <w:szCs w:val="24"/>
        </w:rPr>
      </w:pPr>
      <w:r>
        <w:rPr>
          <w:rFonts w:ascii="Times New Roman" w:eastAsia="宋体" w:hAnsi="Times New Roman" w:cs="Times New Roman"/>
          <w:b/>
          <w:sz w:val="24"/>
          <w:szCs w:val="24"/>
        </w:rPr>
        <w:t>一、停牌事由和工作安排</w:t>
      </w:r>
    </w:p>
    <w:p w14:paraId="6ADE7844" w14:textId="77777777" w:rsidR="004F2203" w:rsidRDefault="00000000">
      <w:pPr>
        <w:spacing w:line="360" w:lineRule="auto"/>
        <w:ind w:firstLineChars="200" w:firstLine="480"/>
        <w:rPr>
          <w:rFonts w:ascii="Times New Roman" w:eastAsia="宋体" w:hAnsi="Times New Roman" w:cs="Times New Roman"/>
          <w:sz w:val="24"/>
          <w:szCs w:val="28"/>
        </w:rPr>
      </w:pPr>
      <w:r>
        <w:rPr>
          <w:rFonts w:ascii="Times New Roman" w:eastAsia="宋体" w:hAnsi="Times New Roman" w:cs="Times New Roman"/>
          <w:sz w:val="24"/>
          <w:szCs w:val="28"/>
        </w:rPr>
        <w:t>2022</w:t>
      </w:r>
      <w:r>
        <w:rPr>
          <w:rFonts w:ascii="Times New Roman" w:eastAsia="宋体" w:hAnsi="Times New Roman" w:cs="Times New Roman"/>
          <w:sz w:val="24"/>
          <w:szCs w:val="28"/>
        </w:rPr>
        <w:t>年</w:t>
      </w:r>
      <w:r>
        <w:rPr>
          <w:rFonts w:ascii="Times New Roman" w:eastAsia="宋体" w:hAnsi="Times New Roman" w:cs="Times New Roman"/>
          <w:sz w:val="24"/>
          <w:szCs w:val="28"/>
        </w:rPr>
        <w:t>6</w:t>
      </w:r>
      <w:r>
        <w:rPr>
          <w:rFonts w:ascii="Times New Roman" w:eastAsia="宋体" w:hAnsi="Times New Roman" w:cs="Times New Roman"/>
          <w:sz w:val="24"/>
          <w:szCs w:val="28"/>
        </w:rPr>
        <w:t>月</w:t>
      </w:r>
      <w:r>
        <w:rPr>
          <w:rFonts w:ascii="Times New Roman" w:eastAsia="宋体" w:hAnsi="Times New Roman" w:cs="Times New Roman"/>
          <w:sz w:val="24"/>
          <w:szCs w:val="28"/>
        </w:rPr>
        <w:t>29</w:t>
      </w:r>
      <w:r>
        <w:rPr>
          <w:rFonts w:ascii="Times New Roman" w:eastAsia="宋体" w:hAnsi="Times New Roman" w:cs="Times New Roman"/>
          <w:sz w:val="24"/>
          <w:szCs w:val="28"/>
        </w:rPr>
        <w:t>日，中广核核技术发展股份有限公司（以下简称</w:t>
      </w:r>
      <w:r>
        <w:rPr>
          <w:rFonts w:ascii="Times New Roman" w:eastAsia="宋体" w:hAnsi="Times New Roman" w:cs="Times New Roman"/>
          <w:sz w:val="24"/>
          <w:szCs w:val="28"/>
        </w:rPr>
        <w:t>“</w:t>
      </w:r>
      <w:r>
        <w:rPr>
          <w:rFonts w:ascii="Times New Roman" w:eastAsia="宋体" w:hAnsi="Times New Roman" w:cs="Times New Roman"/>
          <w:sz w:val="24"/>
          <w:szCs w:val="28"/>
        </w:rPr>
        <w:t>中广核技</w:t>
      </w:r>
      <w:r>
        <w:rPr>
          <w:rFonts w:ascii="Times New Roman" w:eastAsia="宋体" w:hAnsi="Times New Roman" w:cs="Times New Roman"/>
          <w:sz w:val="24"/>
          <w:szCs w:val="28"/>
        </w:rPr>
        <w:t>”</w:t>
      </w:r>
      <w:r>
        <w:rPr>
          <w:rFonts w:ascii="Times New Roman" w:eastAsia="宋体" w:hAnsi="Times New Roman" w:cs="Times New Roman"/>
          <w:sz w:val="24"/>
          <w:szCs w:val="28"/>
        </w:rPr>
        <w:t>或</w:t>
      </w:r>
      <w:r>
        <w:rPr>
          <w:rFonts w:ascii="Times New Roman" w:eastAsia="宋体" w:hAnsi="Times New Roman" w:cs="Times New Roman"/>
          <w:sz w:val="24"/>
          <w:szCs w:val="28"/>
        </w:rPr>
        <w:t>“</w:t>
      </w:r>
      <w:r>
        <w:rPr>
          <w:rFonts w:ascii="Times New Roman" w:eastAsia="宋体" w:hAnsi="Times New Roman" w:cs="Times New Roman"/>
          <w:sz w:val="24"/>
          <w:szCs w:val="28"/>
        </w:rPr>
        <w:t>公司</w:t>
      </w:r>
      <w:r>
        <w:rPr>
          <w:rFonts w:ascii="Times New Roman" w:eastAsia="宋体" w:hAnsi="Times New Roman" w:cs="Times New Roman"/>
          <w:sz w:val="24"/>
          <w:szCs w:val="28"/>
        </w:rPr>
        <w:t>”</w:t>
      </w:r>
      <w:r>
        <w:rPr>
          <w:rFonts w:ascii="Times New Roman" w:eastAsia="宋体" w:hAnsi="Times New Roman" w:cs="Times New Roman"/>
          <w:sz w:val="24"/>
          <w:szCs w:val="28"/>
        </w:rPr>
        <w:t>）召开了第九届董事会第二十八次会议，审议通过了《关于</w:t>
      </w:r>
      <w:r>
        <w:rPr>
          <w:rFonts w:ascii="Times New Roman" w:eastAsia="宋体" w:hAnsi="Times New Roman" w:cs="Times New Roman"/>
          <w:sz w:val="24"/>
          <w:szCs w:val="28"/>
        </w:rPr>
        <w:t>&lt;</w:t>
      </w:r>
      <w:r>
        <w:rPr>
          <w:rFonts w:ascii="Times New Roman" w:eastAsia="宋体" w:hAnsi="Times New Roman" w:cs="Times New Roman"/>
          <w:sz w:val="24"/>
          <w:szCs w:val="28"/>
        </w:rPr>
        <w:t>中广核核技术发展股份有限公司发行股份购买资产暨关联交易报告书（草案）</w:t>
      </w:r>
      <w:r>
        <w:rPr>
          <w:rFonts w:ascii="Times New Roman" w:eastAsia="宋体" w:hAnsi="Times New Roman" w:cs="Times New Roman"/>
          <w:sz w:val="24"/>
          <w:szCs w:val="28"/>
        </w:rPr>
        <w:t>&gt;</w:t>
      </w:r>
      <w:r>
        <w:rPr>
          <w:rFonts w:ascii="Times New Roman" w:eastAsia="宋体" w:hAnsi="Times New Roman" w:cs="Times New Roman"/>
          <w:sz w:val="24"/>
          <w:szCs w:val="28"/>
        </w:rPr>
        <w:t>及其摘要的议案》等相关议案。经公司申请，公司股票于</w:t>
      </w:r>
      <w:r>
        <w:rPr>
          <w:rFonts w:ascii="Times New Roman" w:eastAsia="宋体" w:hAnsi="Times New Roman" w:cs="Times New Roman"/>
          <w:sz w:val="24"/>
          <w:szCs w:val="28"/>
        </w:rPr>
        <w:t>2022</w:t>
      </w:r>
      <w:r>
        <w:rPr>
          <w:rFonts w:ascii="Times New Roman" w:eastAsia="宋体" w:hAnsi="Times New Roman" w:cs="Times New Roman"/>
          <w:sz w:val="24"/>
          <w:szCs w:val="28"/>
        </w:rPr>
        <w:t>年</w:t>
      </w:r>
      <w:r>
        <w:rPr>
          <w:rFonts w:ascii="Times New Roman" w:eastAsia="宋体" w:hAnsi="Times New Roman" w:cs="Times New Roman"/>
          <w:sz w:val="24"/>
          <w:szCs w:val="28"/>
        </w:rPr>
        <w:t>7</w:t>
      </w:r>
      <w:r>
        <w:rPr>
          <w:rFonts w:ascii="Times New Roman" w:eastAsia="宋体" w:hAnsi="Times New Roman" w:cs="Times New Roman"/>
          <w:sz w:val="24"/>
          <w:szCs w:val="28"/>
        </w:rPr>
        <w:t>月</w:t>
      </w:r>
      <w:r>
        <w:rPr>
          <w:rFonts w:ascii="Times New Roman" w:eastAsia="宋体" w:hAnsi="Times New Roman" w:cs="Times New Roman"/>
          <w:sz w:val="24"/>
          <w:szCs w:val="28"/>
        </w:rPr>
        <w:t>1</w:t>
      </w:r>
      <w:r>
        <w:rPr>
          <w:rFonts w:ascii="Times New Roman" w:eastAsia="宋体" w:hAnsi="Times New Roman" w:cs="Times New Roman"/>
          <w:sz w:val="24"/>
          <w:szCs w:val="28"/>
        </w:rPr>
        <w:t>日开市起复牌。具体内容详见公司分别于</w:t>
      </w:r>
      <w:r>
        <w:rPr>
          <w:rFonts w:ascii="Times New Roman" w:eastAsia="宋体" w:hAnsi="Times New Roman" w:cs="Times New Roman"/>
          <w:sz w:val="24"/>
          <w:szCs w:val="28"/>
        </w:rPr>
        <w:t>2022</w:t>
      </w:r>
      <w:r>
        <w:rPr>
          <w:rFonts w:ascii="Times New Roman" w:eastAsia="宋体" w:hAnsi="Times New Roman" w:cs="Times New Roman"/>
          <w:sz w:val="24"/>
          <w:szCs w:val="28"/>
        </w:rPr>
        <w:t>年</w:t>
      </w:r>
      <w:r>
        <w:rPr>
          <w:rFonts w:ascii="Times New Roman" w:eastAsia="宋体" w:hAnsi="Times New Roman" w:cs="Times New Roman"/>
          <w:sz w:val="24"/>
          <w:szCs w:val="28"/>
        </w:rPr>
        <w:t>6</w:t>
      </w:r>
      <w:r>
        <w:rPr>
          <w:rFonts w:ascii="Times New Roman" w:eastAsia="宋体" w:hAnsi="Times New Roman" w:cs="Times New Roman"/>
          <w:sz w:val="24"/>
          <w:szCs w:val="28"/>
        </w:rPr>
        <w:t>月</w:t>
      </w:r>
      <w:r>
        <w:rPr>
          <w:rFonts w:ascii="Times New Roman" w:eastAsia="宋体" w:hAnsi="Times New Roman" w:cs="Times New Roman"/>
          <w:sz w:val="24"/>
          <w:szCs w:val="28"/>
        </w:rPr>
        <w:t>28</w:t>
      </w:r>
      <w:r>
        <w:rPr>
          <w:rFonts w:ascii="Times New Roman" w:eastAsia="宋体" w:hAnsi="Times New Roman" w:cs="Times New Roman"/>
          <w:sz w:val="24"/>
          <w:szCs w:val="28"/>
        </w:rPr>
        <w:t>日、</w:t>
      </w:r>
      <w:r>
        <w:rPr>
          <w:rFonts w:ascii="Times New Roman" w:eastAsia="宋体" w:hAnsi="Times New Roman" w:cs="Times New Roman"/>
          <w:sz w:val="24"/>
          <w:szCs w:val="28"/>
        </w:rPr>
        <w:t>7</w:t>
      </w:r>
      <w:r>
        <w:rPr>
          <w:rFonts w:ascii="Times New Roman" w:eastAsia="宋体" w:hAnsi="Times New Roman" w:cs="Times New Roman"/>
          <w:sz w:val="24"/>
          <w:szCs w:val="28"/>
        </w:rPr>
        <w:t>月</w:t>
      </w:r>
      <w:r>
        <w:rPr>
          <w:rFonts w:ascii="Times New Roman" w:eastAsia="宋体" w:hAnsi="Times New Roman" w:cs="Times New Roman"/>
          <w:sz w:val="24"/>
          <w:szCs w:val="28"/>
        </w:rPr>
        <w:t>1</w:t>
      </w:r>
      <w:r>
        <w:rPr>
          <w:rFonts w:ascii="Times New Roman" w:eastAsia="宋体" w:hAnsi="Times New Roman" w:cs="Times New Roman"/>
          <w:sz w:val="24"/>
          <w:szCs w:val="28"/>
        </w:rPr>
        <w:t>日发布的相关公告。</w:t>
      </w:r>
    </w:p>
    <w:p w14:paraId="73B8B20D" w14:textId="77777777" w:rsidR="004F2203" w:rsidRDefault="00000000">
      <w:pPr>
        <w:spacing w:line="360" w:lineRule="auto"/>
        <w:ind w:firstLineChars="200" w:firstLine="480"/>
        <w:outlineLvl w:val="0"/>
        <w:rPr>
          <w:rFonts w:ascii="Times New Roman" w:eastAsia="宋体" w:hAnsi="Times New Roman" w:cs="Times New Roman"/>
          <w:bCs/>
          <w:sz w:val="24"/>
          <w:szCs w:val="24"/>
        </w:rPr>
      </w:pPr>
      <w:r>
        <w:rPr>
          <w:rFonts w:ascii="Times New Roman" w:eastAsia="宋体" w:hAnsi="Times New Roman" w:cs="Times New Roman"/>
          <w:sz w:val="24"/>
          <w:szCs w:val="28"/>
        </w:rPr>
        <w:t>自重组报告书披露以来，公司及相关各方积极推进本次交易的各项工作。为顺利推进本次交易，保护上市公司和投资者利益，经交易各方协商，拟对本次交易方案做出调整，涉及调整拟交易对方和标的资产范围、支付方式、募集配套资金等事项。根据中国证监会相关规定，预计本次交易方案调整将构成对</w:t>
      </w:r>
      <w:r>
        <w:rPr>
          <w:rFonts w:ascii="Times New Roman" w:eastAsia="宋体" w:hAnsi="Times New Roman" w:cs="Times New Roman" w:hint="eastAsia"/>
          <w:sz w:val="24"/>
          <w:szCs w:val="28"/>
        </w:rPr>
        <w:t>原</w:t>
      </w:r>
      <w:r>
        <w:rPr>
          <w:rFonts w:ascii="Times New Roman" w:eastAsia="宋体" w:hAnsi="Times New Roman" w:cs="Times New Roman"/>
          <w:sz w:val="24"/>
          <w:szCs w:val="28"/>
        </w:rPr>
        <w:t>方案的重大调整。</w:t>
      </w:r>
    </w:p>
    <w:p w14:paraId="0F93858D" w14:textId="77777777" w:rsidR="004F2203" w:rsidRDefault="00000000">
      <w:pPr>
        <w:spacing w:line="360" w:lineRule="auto"/>
        <w:ind w:firstLineChars="200" w:firstLine="480"/>
        <w:rPr>
          <w:rFonts w:ascii="Times New Roman" w:eastAsia="宋体" w:hAnsi="Times New Roman" w:cs="Times New Roman"/>
          <w:sz w:val="24"/>
          <w:szCs w:val="28"/>
        </w:rPr>
      </w:pPr>
      <w:r>
        <w:rPr>
          <w:rFonts w:ascii="Times New Roman" w:eastAsia="宋体" w:hAnsi="Times New Roman" w:cs="Times New Roman"/>
          <w:sz w:val="24"/>
          <w:szCs w:val="28"/>
        </w:rPr>
        <w:t>因有关事项尚存不确定性，为了维护投资者利益，避免对公司股价造成重大影响，根据深圳证券交易所的相关规定，经公司申请，公司证券（证券品种：</w:t>
      </w:r>
      <w:r>
        <w:rPr>
          <w:rFonts w:ascii="Times New Roman" w:eastAsia="宋体" w:hAnsi="Times New Roman" w:cs="Times New Roman"/>
          <w:sz w:val="24"/>
          <w:szCs w:val="28"/>
        </w:rPr>
        <w:t>A</w:t>
      </w:r>
      <w:r>
        <w:rPr>
          <w:rFonts w:ascii="Times New Roman" w:eastAsia="宋体" w:hAnsi="Times New Roman" w:cs="Times New Roman"/>
          <w:sz w:val="24"/>
          <w:szCs w:val="28"/>
        </w:rPr>
        <w:t>股股票，证券简称：中广核技，证券代码：</w:t>
      </w:r>
      <w:r>
        <w:rPr>
          <w:rFonts w:ascii="Times New Roman" w:eastAsia="宋体" w:hAnsi="Times New Roman" w:cs="Times New Roman"/>
          <w:sz w:val="24"/>
          <w:szCs w:val="28"/>
        </w:rPr>
        <w:t>000881</w:t>
      </w:r>
      <w:r>
        <w:rPr>
          <w:rFonts w:ascii="Times New Roman" w:eastAsia="宋体" w:hAnsi="Times New Roman" w:cs="Times New Roman"/>
          <w:sz w:val="24"/>
          <w:szCs w:val="28"/>
        </w:rPr>
        <w:t>）自</w:t>
      </w:r>
      <w:r>
        <w:rPr>
          <w:rFonts w:ascii="Times New Roman" w:eastAsia="宋体" w:hAnsi="Times New Roman" w:cs="Times New Roman"/>
          <w:sz w:val="24"/>
          <w:szCs w:val="28"/>
        </w:rPr>
        <w:t>2023</w:t>
      </w:r>
      <w:r>
        <w:rPr>
          <w:rFonts w:ascii="Times New Roman" w:eastAsia="宋体" w:hAnsi="Times New Roman" w:cs="Times New Roman"/>
          <w:sz w:val="24"/>
          <w:szCs w:val="28"/>
        </w:rPr>
        <w:t>年</w:t>
      </w:r>
      <w:r>
        <w:rPr>
          <w:rFonts w:ascii="Times New Roman" w:eastAsia="宋体" w:hAnsi="Times New Roman" w:cs="Times New Roman"/>
          <w:sz w:val="24"/>
          <w:szCs w:val="28"/>
        </w:rPr>
        <w:t>8</w:t>
      </w:r>
      <w:r>
        <w:rPr>
          <w:rFonts w:ascii="Times New Roman" w:eastAsia="宋体" w:hAnsi="Times New Roman" w:cs="Times New Roman"/>
          <w:sz w:val="24"/>
          <w:szCs w:val="28"/>
        </w:rPr>
        <w:t>月</w:t>
      </w:r>
      <w:r>
        <w:rPr>
          <w:rFonts w:ascii="Times New Roman" w:eastAsia="宋体" w:hAnsi="Times New Roman" w:cs="Times New Roman"/>
          <w:sz w:val="24"/>
          <w:szCs w:val="28"/>
        </w:rPr>
        <w:t>21</w:t>
      </w:r>
      <w:r>
        <w:rPr>
          <w:rFonts w:ascii="Times New Roman" w:eastAsia="宋体" w:hAnsi="Times New Roman" w:cs="Times New Roman"/>
          <w:sz w:val="24"/>
          <w:szCs w:val="28"/>
        </w:rPr>
        <w:t>日开市起开始停牌，预计停牌时间不超过</w:t>
      </w:r>
      <w:r>
        <w:rPr>
          <w:rFonts w:ascii="Times New Roman" w:eastAsia="宋体" w:hAnsi="Times New Roman" w:cs="Times New Roman"/>
          <w:sz w:val="24"/>
          <w:szCs w:val="28"/>
        </w:rPr>
        <w:t>5</w:t>
      </w:r>
      <w:r>
        <w:rPr>
          <w:rFonts w:ascii="Times New Roman" w:eastAsia="宋体" w:hAnsi="Times New Roman" w:cs="Times New Roman"/>
          <w:sz w:val="24"/>
          <w:szCs w:val="28"/>
        </w:rPr>
        <w:t>个交易日。</w:t>
      </w:r>
    </w:p>
    <w:p w14:paraId="29772A32" w14:textId="77777777" w:rsidR="004F2203" w:rsidRDefault="00000000">
      <w:pPr>
        <w:spacing w:line="360" w:lineRule="auto"/>
        <w:ind w:firstLineChars="200" w:firstLine="480"/>
        <w:outlineLvl w:val="0"/>
        <w:rPr>
          <w:rFonts w:ascii="Times New Roman" w:eastAsia="宋体" w:hAnsi="Times New Roman" w:cs="Times New Roman"/>
          <w:bCs/>
          <w:sz w:val="24"/>
          <w:szCs w:val="24"/>
        </w:rPr>
      </w:pPr>
      <w:r>
        <w:rPr>
          <w:rFonts w:ascii="Times New Roman" w:eastAsia="宋体" w:hAnsi="Times New Roman" w:cs="Times New Roman"/>
          <w:bCs/>
          <w:sz w:val="24"/>
          <w:szCs w:val="24"/>
        </w:rPr>
        <w:t>公司预计在不超过</w:t>
      </w:r>
      <w:r>
        <w:rPr>
          <w:rFonts w:ascii="Times New Roman" w:eastAsia="宋体" w:hAnsi="Times New Roman" w:cs="Times New Roman"/>
          <w:bCs/>
          <w:sz w:val="24"/>
          <w:szCs w:val="24"/>
        </w:rPr>
        <w:t>5</w:t>
      </w:r>
      <w:r>
        <w:rPr>
          <w:rFonts w:ascii="Times New Roman" w:eastAsia="宋体" w:hAnsi="Times New Roman" w:cs="Times New Roman"/>
          <w:bCs/>
          <w:sz w:val="24"/>
          <w:szCs w:val="24"/>
        </w:rPr>
        <w:t>个交易日的时间内披露</w:t>
      </w:r>
      <w:r>
        <w:rPr>
          <w:rFonts w:ascii="Times New Roman" w:eastAsia="宋体" w:hAnsi="Times New Roman" w:cs="Times New Roman" w:hint="eastAsia"/>
          <w:bCs/>
          <w:sz w:val="24"/>
          <w:szCs w:val="24"/>
        </w:rPr>
        <w:t>调整后的</w:t>
      </w:r>
      <w:r>
        <w:rPr>
          <w:rFonts w:ascii="Times New Roman" w:eastAsia="宋体" w:hAnsi="Times New Roman" w:cs="Times New Roman"/>
          <w:bCs/>
          <w:sz w:val="24"/>
          <w:szCs w:val="24"/>
        </w:rPr>
        <w:t>交易方案，即在</w:t>
      </w:r>
      <w:r>
        <w:rPr>
          <w:rFonts w:ascii="Times New Roman" w:eastAsia="宋体" w:hAnsi="Times New Roman" w:cs="Times New Roman"/>
          <w:bCs/>
          <w:sz w:val="24"/>
          <w:szCs w:val="24"/>
        </w:rPr>
        <w:t>2023</w:t>
      </w:r>
      <w:r>
        <w:rPr>
          <w:rFonts w:ascii="Times New Roman" w:eastAsia="宋体" w:hAnsi="Times New Roman" w:cs="Times New Roman"/>
          <w:bCs/>
          <w:sz w:val="24"/>
          <w:szCs w:val="24"/>
        </w:rPr>
        <w:t>年</w:t>
      </w:r>
      <w:r>
        <w:rPr>
          <w:rFonts w:ascii="Times New Roman" w:eastAsia="宋体" w:hAnsi="Times New Roman" w:cs="Times New Roman"/>
          <w:bCs/>
          <w:sz w:val="24"/>
          <w:szCs w:val="24"/>
        </w:rPr>
        <w:t>8</w:t>
      </w:r>
      <w:r>
        <w:rPr>
          <w:rFonts w:ascii="Times New Roman" w:eastAsia="宋体" w:hAnsi="Times New Roman" w:cs="Times New Roman"/>
          <w:bCs/>
          <w:sz w:val="24"/>
          <w:szCs w:val="24"/>
        </w:rPr>
        <w:t>月</w:t>
      </w:r>
      <w:r>
        <w:rPr>
          <w:rFonts w:ascii="Times New Roman" w:eastAsia="宋体" w:hAnsi="Times New Roman" w:cs="Times New Roman"/>
          <w:bCs/>
          <w:sz w:val="24"/>
          <w:szCs w:val="24"/>
        </w:rPr>
        <w:t>28</w:t>
      </w:r>
      <w:r>
        <w:rPr>
          <w:rFonts w:ascii="Times New Roman" w:eastAsia="宋体" w:hAnsi="Times New Roman" w:cs="Times New Roman"/>
          <w:bCs/>
          <w:sz w:val="24"/>
          <w:szCs w:val="24"/>
        </w:rPr>
        <w:t>日前按照《公开发行证券的公司信息披露内容与格式准则第</w:t>
      </w:r>
      <w:r>
        <w:rPr>
          <w:rFonts w:ascii="Times New Roman" w:eastAsia="宋体" w:hAnsi="Times New Roman" w:cs="Times New Roman"/>
          <w:bCs/>
          <w:sz w:val="24"/>
          <w:szCs w:val="24"/>
        </w:rPr>
        <w:t>26</w:t>
      </w:r>
      <w:r>
        <w:rPr>
          <w:rFonts w:ascii="Times New Roman" w:eastAsia="宋体" w:hAnsi="Times New Roman" w:cs="Times New Roman"/>
          <w:bCs/>
          <w:sz w:val="24"/>
          <w:szCs w:val="24"/>
        </w:rPr>
        <w:t>号</w:t>
      </w:r>
      <w:r>
        <w:rPr>
          <w:rFonts w:ascii="Times New Roman" w:eastAsia="宋体" w:hAnsi="Times New Roman" w:cs="Times New Roman"/>
          <w:bCs/>
          <w:sz w:val="24"/>
          <w:szCs w:val="24"/>
        </w:rPr>
        <w:t>——</w:t>
      </w:r>
      <w:r>
        <w:rPr>
          <w:rFonts w:ascii="Times New Roman" w:eastAsia="宋体" w:hAnsi="Times New Roman" w:cs="Times New Roman"/>
          <w:bCs/>
          <w:sz w:val="24"/>
          <w:szCs w:val="24"/>
        </w:rPr>
        <w:t>上市公司重大资产重组》的要求披露相关信息。</w:t>
      </w:r>
    </w:p>
    <w:p w14:paraId="5B9A8DF0" w14:textId="77777777" w:rsidR="004F2203" w:rsidRDefault="00000000">
      <w:pPr>
        <w:spacing w:line="360" w:lineRule="auto"/>
        <w:ind w:firstLineChars="200" w:firstLine="480"/>
        <w:outlineLvl w:val="0"/>
        <w:rPr>
          <w:rFonts w:ascii="Times New Roman" w:eastAsia="宋体" w:hAnsi="Times New Roman" w:cs="Times New Roman"/>
          <w:bCs/>
          <w:sz w:val="24"/>
          <w:szCs w:val="24"/>
        </w:rPr>
      </w:pPr>
      <w:r>
        <w:rPr>
          <w:rFonts w:ascii="Times New Roman" w:eastAsia="宋体" w:hAnsi="Times New Roman" w:cs="Times New Roman"/>
          <w:bCs/>
          <w:sz w:val="24"/>
          <w:szCs w:val="24"/>
        </w:rPr>
        <w:t>若公司未能在上述期限内召开董事会审议并披露</w:t>
      </w:r>
      <w:r>
        <w:rPr>
          <w:rFonts w:ascii="Times New Roman" w:eastAsia="宋体" w:hAnsi="Times New Roman" w:cs="Times New Roman" w:hint="eastAsia"/>
          <w:bCs/>
          <w:sz w:val="24"/>
          <w:szCs w:val="24"/>
        </w:rPr>
        <w:t>调整后的</w:t>
      </w:r>
      <w:r>
        <w:rPr>
          <w:rFonts w:ascii="Times New Roman" w:eastAsia="宋体" w:hAnsi="Times New Roman" w:cs="Times New Roman"/>
          <w:bCs/>
          <w:sz w:val="24"/>
          <w:szCs w:val="24"/>
        </w:rPr>
        <w:t>交易方案，公司证券最晚将于</w:t>
      </w:r>
      <w:r>
        <w:rPr>
          <w:rFonts w:ascii="Times New Roman" w:eastAsia="宋体" w:hAnsi="Times New Roman" w:cs="Times New Roman"/>
          <w:bCs/>
          <w:sz w:val="24"/>
          <w:szCs w:val="24"/>
        </w:rPr>
        <w:t>2023</w:t>
      </w:r>
      <w:r>
        <w:rPr>
          <w:rFonts w:ascii="Times New Roman" w:eastAsia="宋体" w:hAnsi="Times New Roman" w:cs="Times New Roman"/>
          <w:bCs/>
          <w:sz w:val="24"/>
          <w:szCs w:val="24"/>
        </w:rPr>
        <w:t>年</w:t>
      </w:r>
      <w:r>
        <w:rPr>
          <w:rFonts w:ascii="Times New Roman" w:eastAsia="宋体" w:hAnsi="Times New Roman" w:cs="Times New Roman"/>
          <w:bCs/>
          <w:sz w:val="24"/>
          <w:szCs w:val="24"/>
        </w:rPr>
        <w:t>8</w:t>
      </w:r>
      <w:r>
        <w:rPr>
          <w:rFonts w:ascii="Times New Roman" w:eastAsia="宋体" w:hAnsi="Times New Roman" w:cs="Times New Roman"/>
          <w:bCs/>
          <w:sz w:val="24"/>
          <w:szCs w:val="24"/>
        </w:rPr>
        <w:t>月</w:t>
      </w:r>
      <w:r>
        <w:rPr>
          <w:rFonts w:ascii="Times New Roman" w:eastAsia="宋体" w:hAnsi="Times New Roman" w:cs="Times New Roman"/>
          <w:bCs/>
          <w:sz w:val="24"/>
          <w:szCs w:val="24"/>
        </w:rPr>
        <w:t>28</w:t>
      </w:r>
      <w:r>
        <w:rPr>
          <w:rFonts w:ascii="Times New Roman" w:eastAsia="宋体" w:hAnsi="Times New Roman" w:cs="Times New Roman"/>
          <w:bCs/>
          <w:sz w:val="24"/>
          <w:szCs w:val="24"/>
        </w:rPr>
        <w:t>日开市起复牌并终止筹划相关事项，同时披露停牌期间筹划事项的主要工作、事项进展、对公司的影响以及后续安排等事项，充分提示相关事项的风险和不确定性，并承诺自披露相关公告之日起至少</w:t>
      </w:r>
      <w:r>
        <w:rPr>
          <w:rFonts w:ascii="Times New Roman" w:eastAsia="宋体" w:hAnsi="Times New Roman" w:cs="Times New Roman"/>
          <w:bCs/>
          <w:sz w:val="24"/>
          <w:szCs w:val="24"/>
        </w:rPr>
        <w:t>1</w:t>
      </w:r>
      <w:r>
        <w:rPr>
          <w:rFonts w:ascii="Times New Roman" w:eastAsia="宋体" w:hAnsi="Times New Roman" w:cs="Times New Roman"/>
          <w:bCs/>
          <w:sz w:val="24"/>
          <w:szCs w:val="24"/>
        </w:rPr>
        <w:t>个月内不再筹划重大资产重组事项。</w:t>
      </w:r>
    </w:p>
    <w:p w14:paraId="53441EDB" w14:textId="77777777" w:rsidR="004F2203" w:rsidRDefault="00000000">
      <w:pPr>
        <w:spacing w:line="360" w:lineRule="auto"/>
        <w:ind w:firstLineChars="200" w:firstLine="482"/>
        <w:outlineLvl w:val="0"/>
        <w:rPr>
          <w:rFonts w:ascii="Times New Roman" w:eastAsia="宋体" w:hAnsi="Times New Roman" w:cs="Times New Roman"/>
          <w:b/>
          <w:sz w:val="24"/>
          <w:szCs w:val="24"/>
        </w:rPr>
      </w:pPr>
      <w:r>
        <w:rPr>
          <w:rFonts w:ascii="Times New Roman" w:eastAsia="宋体" w:hAnsi="Times New Roman" w:cs="Times New Roman"/>
          <w:b/>
          <w:sz w:val="24"/>
          <w:szCs w:val="24"/>
        </w:rPr>
        <w:lastRenderedPageBreak/>
        <w:t>二、</w:t>
      </w:r>
      <w:r>
        <w:rPr>
          <w:rFonts w:ascii="Times New Roman" w:eastAsia="宋体" w:hAnsi="Times New Roman" w:cs="Times New Roman" w:hint="eastAsia"/>
          <w:b/>
          <w:sz w:val="24"/>
          <w:szCs w:val="24"/>
        </w:rPr>
        <w:t>预计本次方案调整构成对原方案的重大调整</w:t>
      </w:r>
    </w:p>
    <w:p w14:paraId="77609C42" w14:textId="77777777" w:rsidR="004F2203" w:rsidRDefault="00000000">
      <w:pPr>
        <w:spacing w:line="360" w:lineRule="auto"/>
        <w:ind w:firstLineChars="200" w:firstLine="480"/>
        <w:rPr>
          <w:rFonts w:ascii="Times New Roman" w:eastAsia="宋体" w:hAnsi="Times New Roman" w:cs="Times New Roman"/>
          <w:sz w:val="24"/>
          <w:szCs w:val="28"/>
        </w:rPr>
      </w:pPr>
      <w:r>
        <w:rPr>
          <w:rFonts w:ascii="Times New Roman" w:eastAsia="宋体" w:hAnsi="Times New Roman" w:cs="Times New Roman" w:hint="eastAsia"/>
          <w:sz w:val="24"/>
          <w:szCs w:val="28"/>
        </w:rPr>
        <w:t>根据中国证券监督管理委员会于</w:t>
      </w:r>
      <w:r>
        <w:rPr>
          <w:rFonts w:ascii="Times New Roman" w:eastAsia="宋体" w:hAnsi="Times New Roman" w:cs="Times New Roman"/>
          <w:sz w:val="24"/>
          <w:szCs w:val="28"/>
        </w:rPr>
        <w:t>2023</w:t>
      </w:r>
      <w:r>
        <w:rPr>
          <w:rFonts w:ascii="Times New Roman" w:eastAsia="宋体" w:hAnsi="Times New Roman" w:cs="Times New Roman"/>
          <w:sz w:val="24"/>
          <w:szCs w:val="28"/>
        </w:rPr>
        <w:t>年</w:t>
      </w:r>
      <w:r>
        <w:rPr>
          <w:rFonts w:ascii="Times New Roman" w:eastAsia="宋体" w:hAnsi="Times New Roman" w:cs="Times New Roman"/>
          <w:sz w:val="24"/>
          <w:szCs w:val="28"/>
        </w:rPr>
        <w:t>2</w:t>
      </w:r>
      <w:r>
        <w:rPr>
          <w:rFonts w:ascii="Times New Roman" w:eastAsia="宋体" w:hAnsi="Times New Roman" w:cs="Times New Roman"/>
          <w:sz w:val="24"/>
          <w:szCs w:val="28"/>
        </w:rPr>
        <w:t>月</w:t>
      </w:r>
      <w:r>
        <w:rPr>
          <w:rFonts w:ascii="Times New Roman" w:eastAsia="宋体" w:hAnsi="Times New Roman" w:cs="Times New Roman"/>
          <w:sz w:val="24"/>
          <w:szCs w:val="28"/>
        </w:rPr>
        <w:t>17</w:t>
      </w:r>
      <w:r>
        <w:rPr>
          <w:rFonts w:ascii="Times New Roman" w:eastAsia="宋体" w:hAnsi="Times New Roman" w:cs="Times New Roman"/>
          <w:sz w:val="24"/>
          <w:szCs w:val="28"/>
        </w:rPr>
        <w:t>日发布的《</w:t>
      </w:r>
      <w:r>
        <w:rPr>
          <w:rFonts w:ascii="Times New Roman" w:eastAsia="宋体" w:hAnsi="Times New Roman" w:cs="Times New Roman"/>
          <w:sz w:val="24"/>
          <w:szCs w:val="28"/>
        </w:rPr>
        <w:t>&lt;</w:t>
      </w:r>
      <w:r>
        <w:rPr>
          <w:rFonts w:ascii="Times New Roman" w:eastAsia="宋体" w:hAnsi="Times New Roman" w:cs="Times New Roman"/>
          <w:sz w:val="24"/>
          <w:szCs w:val="28"/>
        </w:rPr>
        <w:t>上市公司重大资产重组管理办法</w:t>
      </w:r>
      <w:r>
        <w:rPr>
          <w:rFonts w:ascii="Times New Roman" w:eastAsia="宋体" w:hAnsi="Times New Roman" w:cs="Times New Roman"/>
          <w:sz w:val="24"/>
          <w:szCs w:val="28"/>
        </w:rPr>
        <w:t>&gt;</w:t>
      </w:r>
      <w:r>
        <w:rPr>
          <w:rFonts w:ascii="Times New Roman" w:eastAsia="宋体" w:hAnsi="Times New Roman" w:cs="Times New Roman"/>
          <w:sz w:val="24"/>
          <w:szCs w:val="28"/>
        </w:rPr>
        <w:t>第二十九条、第四十五条的适用意见</w:t>
      </w:r>
      <w:r>
        <w:rPr>
          <w:rFonts w:ascii="Times New Roman" w:eastAsia="宋体" w:hAnsi="Times New Roman" w:cs="Times New Roman"/>
          <w:sz w:val="24"/>
          <w:szCs w:val="28"/>
        </w:rPr>
        <w:t>——</w:t>
      </w:r>
      <w:r>
        <w:rPr>
          <w:rFonts w:ascii="Times New Roman" w:eastAsia="宋体" w:hAnsi="Times New Roman" w:cs="Times New Roman"/>
          <w:sz w:val="24"/>
          <w:szCs w:val="28"/>
        </w:rPr>
        <w:t>证券期货法律适用意见第</w:t>
      </w:r>
      <w:r>
        <w:rPr>
          <w:rFonts w:ascii="Times New Roman" w:eastAsia="宋体" w:hAnsi="Times New Roman" w:cs="Times New Roman"/>
          <w:sz w:val="24"/>
          <w:szCs w:val="28"/>
        </w:rPr>
        <w:t>15</w:t>
      </w:r>
      <w:r>
        <w:rPr>
          <w:rFonts w:ascii="Times New Roman" w:eastAsia="宋体" w:hAnsi="Times New Roman" w:cs="Times New Roman"/>
          <w:sz w:val="24"/>
          <w:szCs w:val="28"/>
        </w:rPr>
        <w:t>号》的规定，以下情况视为构成对重组方案重大调整：</w:t>
      </w:r>
    </w:p>
    <w:p w14:paraId="505794F9" w14:textId="77777777" w:rsidR="004F2203" w:rsidRDefault="00000000">
      <w:pPr>
        <w:spacing w:line="360" w:lineRule="auto"/>
        <w:ind w:firstLineChars="200" w:firstLine="480"/>
        <w:rPr>
          <w:rFonts w:ascii="Times New Roman" w:eastAsia="宋体" w:hAnsi="Times New Roman" w:cs="Times New Roman"/>
          <w:sz w:val="24"/>
          <w:szCs w:val="28"/>
        </w:rPr>
      </w:pPr>
      <w:r>
        <w:rPr>
          <w:rFonts w:ascii="Times New Roman" w:eastAsia="宋体" w:hAnsi="Times New Roman" w:cs="Times New Roman" w:hint="eastAsia"/>
          <w:sz w:val="24"/>
          <w:szCs w:val="28"/>
        </w:rPr>
        <w:t>（一</w:t>
      </w:r>
      <w:r>
        <w:rPr>
          <w:rFonts w:ascii="Times New Roman" w:eastAsia="宋体" w:hAnsi="Times New Roman" w:cs="Times New Roman"/>
          <w:sz w:val="24"/>
          <w:szCs w:val="28"/>
        </w:rPr>
        <w:t>）关于交易对象的调整</w:t>
      </w:r>
    </w:p>
    <w:p w14:paraId="4AFAFE2E" w14:textId="77777777" w:rsidR="004F2203" w:rsidRDefault="00000000">
      <w:pPr>
        <w:spacing w:line="360" w:lineRule="auto"/>
        <w:ind w:firstLineChars="200" w:firstLine="480"/>
        <w:rPr>
          <w:rFonts w:ascii="Times New Roman" w:eastAsia="宋体" w:hAnsi="Times New Roman" w:cs="Times New Roman"/>
          <w:sz w:val="24"/>
          <w:szCs w:val="28"/>
        </w:rPr>
      </w:pPr>
      <w:r>
        <w:rPr>
          <w:rFonts w:ascii="Times New Roman" w:eastAsia="宋体" w:hAnsi="Times New Roman" w:cs="Times New Roman" w:hint="eastAsia"/>
          <w:sz w:val="24"/>
          <w:szCs w:val="28"/>
        </w:rPr>
        <w:t>拟对交易对象进行变更的，原则上视为构成对重组方案重大调整，但是有以下两种情况的，可以视为不构成对重组方案重大调整：①拟减少交易对象的，如交易各方同意将该交易对象及其持有的标的资产份额剔除出重组方案，且剔除相关标的资产后按照下述有关交易标的变更的规定不构成对重组方案重大调整的；②拟调整交易对象所持标的资产份额的，如交易各方同意交易对象之间转让标的资产份额，且转让份额不超过交易作价</w:t>
      </w:r>
      <w:r>
        <w:rPr>
          <w:rFonts w:ascii="Times New Roman" w:eastAsia="宋体" w:hAnsi="Times New Roman" w:cs="Times New Roman"/>
          <w:sz w:val="24"/>
          <w:szCs w:val="28"/>
        </w:rPr>
        <w:t>20%</w:t>
      </w:r>
      <w:r>
        <w:rPr>
          <w:rFonts w:ascii="Times New Roman" w:eastAsia="宋体" w:hAnsi="Times New Roman" w:cs="Times New Roman"/>
          <w:sz w:val="24"/>
          <w:szCs w:val="28"/>
        </w:rPr>
        <w:t>的。</w:t>
      </w:r>
    </w:p>
    <w:p w14:paraId="19F60FDE" w14:textId="77777777" w:rsidR="004F2203" w:rsidRDefault="00000000">
      <w:pPr>
        <w:spacing w:line="360" w:lineRule="auto"/>
        <w:ind w:firstLineChars="200" w:firstLine="480"/>
        <w:rPr>
          <w:rFonts w:ascii="Times New Roman" w:eastAsia="宋体" w:hAnsi="Times New Roman" w:cs="Times New Roman"/>
          <w:sz w:val="24"/>
          <w:szCs w:val="28"/>
        </w:rPr>
      </w:pPr>
      <w:r>
        <w:rPr>
          <w:rFonts w:ascii="Times New Roman" w:eastAsia="宋体" w:hAnsi="Times New Roman" w:cs="Times New Roman" w:hint="eastAsia"/>
          <w:sz w:val="24"/>
          <w:szCs w:val="28"/>
        </w:rPr>
        <w:t>（二</w:t>
      </w:r>
      <w:r>
        <w:rPr>
          <w:rFonts w:ascii="Times New Roman" w:eastAsia="宋体" w:hAnsi="Times New Roman" w:cs="Times New Roman"/>
          <w:sz w:val="24"/>
          <w:szCs w:val="28"/>
        </w:rPr>
        <w:t>）关于标的资产的调整</w:t>
      </w:r>
    </w:p>
    <w:p w14:paraId="0FCB735F" w14:textId="77777777" w:rsidR="004F2203" w:rsidRDefault="00000000">
      <w:pPr>
        <w:spacing w:line="360" w:lineRule="auto"/>
        <w:ind w:firstLineChars="200" w:firstLine="480"/>
        <w:rPr>
          <w:rFonts w:ascii="Times New Roman" w:eastAsia="宋体" w:hAnsi="Times New Roman" w:cs="Times New Roman"/>
          <w:sz w:val="24"/>
          <w:szCs w:val="28"/>
        </w:rPr>
      </w:pPr>
      <w:r>
        <w:rPr>
          <w:rFonts w:ascii="Times New Roman" w:eastAsia="宋体" w:hAnsi="Times New Roman" w:cs="Times New Roman" w:hint="eastAsia"/>
          <w:sz w:val="24"/>
          <w:szCs w:val="28"/>
        </w:rPr>
        <w:t>拟对标的资产进行变更的，原则上视为构成对重组方案重大调整，但是同时满足以下条件的，可以视为不构成对重组方案重大调整：①拟增加或减少的交易标的的交易作价、资产总额、资产净额及营业收入占原标的资产相应指标总量的比例均不超过</w:t>
      </w:r>
      <w:r>
        <w:rPr>
          <w:rFonts w:ascii="Times New Roman" w:eastAsia="宋体" w:hAnsi="Times New Roman" w:cs="Times New Roman"/>
          <w:sz w:val="24"/>
          <w:szCs w:val="28"/>
        </w:rPr>
        <w:t>20%</w:t>
      </w:r>
      <w:r>
        <w:rPr>
          <w:rFonts w:ascii="Times New Roman" w:eastAsia="宋体" w:hAnsi="Times New Roman" w:cs="Times New Roman"/>
          <w:sz w:val="24"/>
          <w:szCs w:val="28"/>
        </w:rPr>
        <w:t>；</w:t>
      </w:r>
      <w:r>
        <w:rPr>
          <w:rFonts w:ascii="宋体" w:eastAsia="宋体" w:hAnsi="宋体" w:cs="宋体" w:hint="eastAsia"/>
          <w:sz w:val="24"/>
          <w:szCs w:val="28"/>
        </w:rPr>
        <w:t>②</w:t>
      </w:r>
      <w:r>
        <w:rPr>
          <w:rFonts w:ascii="Times New Roman" w:eastAsia="宋体" w:hAnsi="Times New Roman" w:cs="Times New Roman"/>
          <w:sz w:val="24"/>
          <w:szCs w:val="28"/>
        </w:rPr>
        <w:t>变更标的资产对交易标的的生产经营不构成实质性影响，包括不影响标的资产及业务完整性等。</w:t>
      </w:r>
    </w:p>
    <w:p w14:paraId="0B15AE13" w14:textId="77777777" w:rsidR="004F2203" w:rsidRDefault="00000000">
      <w:pPr>
        <w:spacing w:line="360" w:lineRule="auto"/>
        <w:ind w:firstLineChars="200" w:firstLine="480"/>
        <w:rPr>
          <w:rFonts w:ascii="Times New Roman" w:eastAsia="宋体" w:hAnsi="Times New Roman" w:cs="Times New Roman"/>
          <w:sz w:val="24"/>
          <w:szCs w:val="28"/>
        </w:rPr>
      </w:pPr>
      <w:r>
        <w:rPr>
          <w:rFonts w:ascii="Times New Roman" w:eastAsia="宋体" w:hAnsi="Times New Roman" w:cs="Times New Roman" w:hint="eastAsia"/>
          <w:sz w:val="24"/>
          <w:szCs w:val="28"/>
        </w:rPr>
        <w:t>（三</w:t>
      </w:r>
      <w:r>
        <w:rPr>
          <w:rFonts w:ascii="Times New Roman" w:eastAsia="宋体" w:hAnsi="Times New Roman" w:cs="Times New Roman"/>
          <w:sz w:val="24"/>
          <w:szCs w:val="28"/>
        </w:rPr>
        <w:t>）关于配套募集资金的调整</w:t>
      </w:r>
    </w:p>
    <w:p w14:paraId="59C3C8F8" w14:textId="77777777" w:rsidR="004F2203" w:rsidRDefault="00000000">
      <w:pPr>
        <w:spacing w:line="360" w:lineRule="auto"/>
        <w:ind w:firstLineChars="200" w:firstLine="480"/>
        <w:rPr>
          <w:rFonts w:ascii="Times New Roman" w:eastAsia="宋体" w:hAnsi="Times New Roman" w:cs="Times New Roman"/>
          <w:sz w:val="24"/>
          <w:szCs w:val="28"/>
        </w:rPr>
      </w:pPr>
      <w:r>
        <w:rPr>
          <w:rFonts w:ascii="Times New Roman" w:eastAsia="宋体" w:hAnsi="Times New Roman" w:cs="Times New Roman" w:hint="eastAsia"/>
          <w:sz w:val="24"/>
          <w:szCs w:val="28"/>
        </w:rPr>
        <w:t>新增或调增配套募集资金，应当视为构成对重组方案重大调整。调减或取消配套募集资金不构成重组方案的重大调整。</w:t>
      </w:r>
    </w:p>
    <w:p w14:paraId="4701C988" w14:textId="77777777" w:rsidR="004F2203" w:rsidRDefault="00000000">
      <w:pPr>
        <w:adjustRightInd w:val="0"/>
        <w:snapToGrid w:val="0"/>
        <w:spacing w:line="360" w:lineRule="auto"/>
        <w:ind w:firstLineChars="200" w:firstLine="480"/>
        <w:outlineLvl w:val="0"/>
        <w:rPr>
          <w:rFonts w:ascii="Times New Roman" w:eastAsia="宋体" w:hAnsi="Times New Roman" w:cs="Times New Roman"/>
          <w:sz w:val="24"/>
          <w:szCs w:val="28"/>
        </w:rPr>
      </w:pPr>
      <w:r>
        <w:rPr>
          <w:rFonts w:ascii="Times New Roman" w:eastAsia="宋体" w:hAnsi="Times New Roman" w:cs="Times New Roman" w:hint="eastAsia"/>
          <w:sz w:val="24"/>
          <w:szCs w:val="28"/>
        </w:rPr>
        <w:t>本次方案较前次方案的调整，因交易对方变更，涉及交易标的的变更占比预计将超过百分之二十，且本次方案同时涉及新增配套募集资金，根据上述规定，预计</w:t>
      </w:r>
      <w:r>
        <w:rPr>
          <w:rFonts w:ascii="Times New Roman" w:eastAsia="宋体" w:hAnsi="Times New Roman" w:cs="Times New Roman"/>
          <w:sz w:val="24"/>
          <w:szCs w:val="28"/>
        </w:rPr>
        <w:t>本次方案调整构成对</w:t>
      </w:r>
      <w:r>
        <w:rPr>
          <w:rFonts w:ascii="Times New Roman" w:eastAsia="宋体" w:hAnsi="Times New Roman" w:cs="Times New Roman" w:hint="eastAsia"/>
          <w:sz w:val="24"/>
          <w:szCs w:val="28"/>
        </w:rPr>
        <w:t>原交易方案的</w:t>
      </w:r>
      <w:r>
        <w:rPr>
          <w:rFonts w:ascii="Times New Roman" w:eastAsia="宋体" w:hAnsi="Times New Roman" w:cs="Times New Roman"/>
          <w:sz w:val="24"/>
          <w:szCs w:val="28"/>
        </w:rPr>
        <w:t>重大调整。</w:t>
      </w:r>
    </w:p>
    <w:p w14:paraId="2A9D2E6A" w14:textId="77777777" w:rsidR="004F2203" w:rsidRDefault="00000000">
      <w:pPr>
        <w:spacing w:line="360" w:lineRule="auto"/>
        <w:ind w:firstLineChars="200" w:firstLine="482"/>
        <w:outlineLvl w:val="0"/>
        <w:rPr>
          <w:rFonts w:ascii="Times New Roman" w:eastAsia="宋体" w:hAnsi="Times New Roman" w:cs="Times New Roman"/>
          <w:b/>
          <w:sz w:val="24"/>
          <w:szCs w:val="24"/>
        </w:rPr>
      </w:pPr>
      <w:r>
        <w:rPr>
          <w:rFonts w:ascii="Times New Roman" w:eastAsia="宋体" w:hAnsi="Times New Roman" w:cs="Times New Roman"/>
          <w:b/>
          <w:sz w:val="24"/>
          <w:szCs w:val="24"/>
        </w:rPr>
        <w:t>三、停牌期间安排</w:t>
      </w:r>
    </w:p>
    <w:p w14:paraId="6B0A6156" w14:textId="77777777" w:rsidR="004F2203" w:rsidRDefault="00000000">
      <w:pPr>
        <w:spacing w:line="360" w:lineRule="auto"/>
        <w:ind w:firstLineChars="200" w:firstLine="480"/>
        <w:rPr>
          <w:rFonts w:ascii="Times New Roman" w:eastAsia="宋体" w:hAnsi="Times New Roman" w:cs="Times New Roman"/>
          <w:sz w:val="24"/>
          <w:szCs w:val="28"/>
        </w:rPr>
      </w:pPr>
      <w:r>
        <w:rPr>
          <w:rFonts w:ascii="Times New Roman" w:eastAsia="宋体" w:hAnsi="Times New Roman" w:cs="Times New Roman"/>
          <w:sz w:val="24"/>
          <w:szCs w:val="28"/>
        </w:rPr>
        <w:t>公司自停牌之日将按照相关规定，积极开展各项工作，履行必要的报批和审议程序，督促公司聘请的独立财务顾问、审计、评估等中介机构加快工作，按照承诺的期限向交易所提交并披露符合相关规定要求的文件。</w:t>
      </w:r>
    </w:p>
    <w:p w14:paraId="08450F5D" w14:textId="77777777" w:rsidR="004F2203" w:rsidRDefault="00000000">
      <w:pPr>
        <w:spacing w:line="360" w:lineRule="auto"/>
        <w:ind w:firstLineChars="200" w:firstLine="482"/>
        <w:outlineLvl w:val="0"/>
        <w:rPr>
          <w:rFonts w:ascii="Times New Roman" w:eastAsia="宋体" w:hAnsi="Times New Roman" w:cs="Times New Roman"/>
          <w:b/>
          <w:sz w:val="24"/>
          <w:szCs w:val="24"/>
        </w:rPr>
      </w:pPr>
      <w:r>
        <w:rPr>
          <w:rFonts w:ascii="Times New Roman" w:eastAsia="宋体" w:hAnsi="Times New Roman" w:cs="Times New Roman"/>
          <w:b/>
          <w:sz w:val="24"/>
          <w:szCs w:val="24"/>
        </w:rPr>
        <w:t>四、风险提示</w:t>
      </w:r>
    </w:p>
    <w:p w14:paraId="5C6B24A5" w14:textId="77777777" w:rsidR="004F2203" w:rsidRDefault="00000000">
      <w:pPr>
        <w:spacing w:line="360" w:lineRule="auto"/>
        <w:ind w:firstLineChars="200" w:firstLine="480"/>
        <w:rPr>
          <w:rFonts w:ascii="Times New Roman" w:eastAsia="宋体" w:hAnsi="Times New Roman" w:cs="Times New Roman"/>
          <w:sz w:val="24"/>
          <w:szCs w:val="28"/>
        </w:rPr>
      </w:pPr>
      <w:r>
        <w:rPr>
          <w:rFonts w:ascii="Times New Roman" w:eastAsia="宋体" w:hAnsi="Times New Roman" w:cs="Times New Roman"/>
          <w:sz w:val="24"/>
          <w:szCs w:val="28"/>
        </w:rPr>
        <w:t>截至目前，本次交易方案调整仍处于筹划阶段，交易各方尚未签署正式的交</w:t>
      </w:r>
      <w:r>
        <w:rPr>
          <w:rFonts w:ascii="Times New Roman" w:eastAsia="宋体" w:hAnsi="Times New Roman" w:cs="Times New Roman"/>
          <w:sz w:val="24"/>
          <w:szCs w:val="28"/>
        </w:rPr>
        <w:lastRenderedPageBreak/>
        <w:t>易协议，具体交易方案仍在协商论证中。</w:t>
      </w:r>
    </w:p>
    <w:p w14:paraId="1569C12F" w14:textId="77777777" w:rsidR="004F2203" w:rsidRDefault="00000000">
      <w:pPr>
        <w:spacing w:line="360" w:lineRule="auto"/>
        <w:ind w:firstLineChars="200" w:firstLine="480"/>
        <w:rPr>
          <w:rFonts w:ascii="Times New Roman" w:eastAsia="宋体" w:hAnsi="Times New Roman" w:cs="Times New Roman"/>
          <w:sz w:val="24"/>
          <w:szCs w:val="28"/>
        </w:rPr>
      </w:pPr>
      <w:r>
        <w:rPr>
          <w:rFonts w:ascii="Times New Roman" w:eastAsia="宋体" w:hAnsi="Times New Roman" w:cs="Times New Roman"/>
          <w:sz w:val="24"/>
          <w:szCs w:val="28"/>
        </w:rPr>
        <w:t>本次交易</w:t>
      </w:r>
      <w:r>
        <w:rPr>
          <w:rFonts w:ascii="Times New Roman" w:eastAsia="宋体" w:hAnsi="Times New Roman" w:cs="Times New Roman" w:hint="eastAsia"/>
          <w:sz w:val="24"/>
          <w:szCs w:val="28"/>
        </w:rPr>
        <w:t>方案的调整及实施</w:t>
      </w:r>
      <w:r>
        <w:rPr>
          <w:rFonts w:ascii="Times New Roman" w:eastAsia="宋体" w:hAnsi="Times New Roman" w:cs="Times New Roman"/>
          <w:sz w:val="24"/>
          <w:szCs w:val="28"/>
        </w:rPr>
        <w:t>尚需履行必要的内部决策程序，并需经有权监管机构批准后方可正式实施，能否实施尚存在较大不确定性，有关信息均以公司指定信息披露媒体发布的公告为准。敬请广大投资者关注后续公告并注意投资风险。</w:t>
      </w:r>
    </w:p>
    <w:p w14:paraId="1524E97D" w14:textId="77777777" w:rsidR="004F2203" w:rsidRDefault="00000000">
      <w:pPr>
        <w:spacing w:line="360" w:lineRule="auto"/>
        <w:ind w:firstLineChars="200" w:firstLine="482"/>
        <w:outlineLvl w:val="0"/>
        <w:rPr>
          <w:rFonts w:ascii="Times New Roman" w:eastAsia="宋体" w:hAnsi="Times New Roman" w:cs="Times New Roman"/>
          <w:b/>
          <w:sz w:val="24"/>
          <w:szCs w:val="24"/>
        </w:rPr>
      </w:pPr>
      <w:r>
        <w:rPr>
          <w:rFonts w:ascii="Times New Roman" w:eastAsia="宋体" w:hAnsi="Times New Roman" w:cs="Times New Roman"/>
          <w:b/>
          <w:sz w:val="24"/>
          <w:szCs w:val="24"/>
        </w:rPr>
        <w:t>五、备查文件</w:t>
      </w:r>
    </w:p>
    <w:p w14:paraId="441E29D7" w14:textId="77777777" w:rsidR="004F2203" w:rsidRDefault="00000000">
      <w:pPr>
        <w:spacing w:line="360" w:lineRule="auto"/>
        <w:ind w:firstLineChars="200" w:firstLine="480"/>
        <w:rPr>
          <w:rFonts w:ascii="Times New Roman" w:eastAsia="宋体" w:hAnsi="Times New Roman" w:cs="Times New Roman"/>
          <w:sz w:val="24"/>
          <w:szCs w:val="28"/>
        </w:rPr>
      </w:pPr>
      <w:r>
        <w:rPr>
          <w:rFonts w:ascii="Times New Roman" w:eastAsia="宋体" w:hAnsi="Times New Roman" w:cs="Times New Roman"/>
          <w:sz w:val="24"/>
          <w:szCs w:val="28"/>
        </w:rPr>
        <w:t>1</w:t>
      </w:r>
      <w:r>
        <w:rPr>
          <w:rFonts w:ascii="Times New Roman" w:eastAsia="宋体" w:hAnsi="Times New Roman" w:cs="Times New Roman"/>
          <w:sz w:val="24"/>
          <w:szCs w:val="28"/>
        </w:rPr>
        <w:t>、经公司董事长签字的停牌申请；</w:t>
      </w:r>
    </w:p>
    <w:p w14:paraId="5437F73E" w14:textId="77777777" w:rsidR="004F2203" w:rsidRDefault="00000000">
      <w:pPr>
        <w:spacing w:line="360" w:lineRule="auto"/>
        <w:ind w:firstLineChars="200" w:firstLine="480"/>
        <w:rPr>
          <w:rFonts w:ascii="Times New Roman" w:eastAsia="宋体" w:hAnsi="Times New Roman" w:cs="Times New Roman"/>
          <w:b/>
          <w:bCs/>
          <w:sz w:val="24"/>
          <w:szCs w:val="28"/>
        </w:rPr>
      </w:pPr>
      <w:r>
        <w:rPr>
          <w:rFonts w:ascii="Times New Roman" w:eastAsia="宋体" w:hAnsi="Times New Roman" w:cs="Times New Roman"/>
          <w:sz w:val="24"/>
          <w:szCs w:val="28"/>
        </w:rPr>
        <w:t>2</w:t>
      </w:r>
      <w:r>
        <w:rPr>
          <w:rFonts w:ascii="Times New Roman" w:eastAsia="宋体" w:hAnsi="Times New Roman" w:cs="Times New Roman"/>
          <w:sz w:val="24"/>
          <w:szCs w:val="28"/>
        </w:rPr>
        <w:t>、公司与交易对方签署</w:t>
      </w:r>
      <w:r>
        <w:rPr>
          <w:rFonts w:ascii="Times New Roman" w:eastAsia="宋体" w:hAnsi="Times New Roman" w:cs="Times New Roman" w:hint="eastAsia"/>
          <w:sz w:val="24"/>
          <w:szCs w:val="28"/>
        </w:rPr>
        <w:t>的</w:t>
      </w:r>
      <w:r>
        <w:rPr>
          <w:rFonts w:ascii="Times New Roman" w:eastAsia="宋体" w:hAnsi="Times New Roman" w:cs="Times New Roman"/>
          <w:sz w:val="24"/>
          <w:szCs w:val="28"/>
        </w:rPr>
        <w:t>意向性协议；</w:t>
      </w:r>
    </w:p>
    <w:p w14:paraId="0214F313" w14:textId="77777777" w:rsidR="004F2203" w:rsidRDefault="00000000">
      <w:pPr>
        <w:spacing w:line="360" w:lineRule="auto"/>
        <w:ind w:firstLineChars="200" w:firstLine="480"/>
        <w:rPr>
          <w:rFonts w:ascii="Times New Roman" w:eastAsia="宋体" w:hAnsi="Times New Roman" w:cs="Times New Roman"/>
          <w:sz w:val="24"/>
          <w:szCs w:val="28"/>
        </w:rPr>
      </w:pPr>
      <w:r>
        <w:rPr>
          <w:rFonts w:ascii="Times New Roman" w:eastAsia="宋体" w:hAnsi="Times New Roman" w:cs="Times New Roman"/>
          <w:sz w:val="24"/>
          <w:szCs w:val="28"/>
        </w:rPr>
        <w:t>3</w:t>
      </w:r>
      <w:r>
        <w:rPr>
          <w:rFonts w:ascii="Times New Roman" w:eastAsia="宋体" w:hAnsi="Times New Roman" w:cs="Times New Roman"/>
          <w:sz w:val="24"/>
          <w:szCs w:val="28"/>
        </w:rPr>
        <w:t>、交易对方不存在《上市公司监管指引第</w:t>
      </w:r>
      <w:r>
        <w:rPr>
          <w:rFonts w:ascii="Times New Roman" w:eastAsia="宋体" w:hAnsi="Times New Roman" w:cs="Times New Roman"/>
          <w:sz w:val="24"/>
          <w:szCs w:val="28"/>
        </w:rPr>
        <w:t>7</w:t>
      </w:r>
      <w:r>
        <w:rPr>
          <w:rFonts w:ascii="Times New Roman" w:eastAsia="宋体" w:hAnsi="Times New Roman" w:cs="Times New Roman"/>
          <w:sz w:val="24"/>
          <w:szCs w:val="28"/>
        </w:rPr>
        <w:t>号</w:t>
      </w:r>
      <w:r>
        <w:rPr>
          <w:rFonts w:ascii="Times New Roman" w:eastAsia="宋体" w:hAnsi="Times New Roman" w:cs="Times New Roman"/>
          <w:sz w:val="24"/>
          <w:szCs w:val="28"/>
        </w:rPr>
        <w:t>—</w:t>
      </w:r>
      <w:r>
        <w:rPr>
          <w:rFonts w:ascii="Times New Roman" w:eastAsia="宋体" w:hAnsi="Times New Roman" w:cs="Times New Roman"/>
          <w:sz w:val="24"/>
          <w:szCs w:val="28"/>
        </w:rPr>
        <w:t>上市公司重大资产重组相关股票异常交易监管》第十</w:t>
      </w:r>
      <w:r>
        <w:rPr>
          <w:rFonts w:ascii="Times New Roman" w:eastAsia="宋体" w:hAnsi="Times New Roman" w:cs="Times New Roman" w:hint="eastAsia"/>
          <w:sz w:val="24"/>
          <w:szCs w:val="28"/>
        </w:rPr>
        <w:t>二</w:t>
      </w:r>
      <w:r>
        <w:rPr>
          <w:rFonts w:ascii="Times New Roman" w:eastAsia="宋体" w:hAnsi="Times New Roman" w:cs="Times New Roman"/>
          <w:sz w:val="24"/>
          <w:szCs w:val="28"/>
        </w:rPr>
        <w:t>条情形的说明；</w:t>
      </w:r>
    </w:p>
    <w:p w14:paraId="78BDC271" w14:textId="77777777" w:rsidR="004F2203" w:rsidRDefault="00000000">
      <w:pPr>
        <w:spacing w:line="360" w:lineRule="auto"/>
        <w:ind w:firstLineChars="200" w:firstLine="480"/>
        <w:rPr>
          <w:rFonts w:ascii="Times New Roman" w:eastAsia="宋体" w:hAnsi="Times New Roman" w:cs="Times New Roman"/>
          <w:sz w:val="24"/>
          <w:szCs w:val="28"/>
        </w:rPr>
      </w:pPr>
      <w:r>
        <w:rPr>
          <w:rFonts w:ascii="Times New Roman" w:eastAsia="宋体" w:hAnsi="Times New Roman" w:cs="Times New Roman"/>
          <w:sz w:val="24"/>
          <w:szCs w:val="28"/>
        </w:rPr>
        <w:t>4</w:t>
      </w:r>
      <w:r>
        <w:rPr>
          <w:rFonts w:ascii="Times New Roman" w:eastAsia="宋体" w:hAnsi="Times New Roman" w:cs="Times New Roman"/>
          <w:sz w:val="24"/>
          <w:szCs w:val="28"/>
        </w:rPr>
        <w:t>、深圳证券交易所要求的其他文件。</w:t>
      </w:r>
    </w:p>
    <w:p w14:paraId="22D95F24" w14:textId="77777777" w:rsidR="004F2203" w:rsidRDefault="00000000">
      <w:pPr>
        <w:spacing w:line="360" w:lineRule="auto"/>
        <w:ind w:firstLineChars="200" w:firstLine="480"/>
        <w:outlineLvl w:val="0"/>
        <w:rPr>
          <w:rFonts w:ascii="Times New Roman" w:eastAsia="宋体" w:hAnsi="Times New Roman" w:cs="Times New Roman"/>
          <w:sz w:val="24"/>
          <w:szCs w:val="24"/>
        </w:rPr>
      </w:pPr>
      <w:r>
        <w:rPr>
          <w:rFonts w:ascii="Times New Roman" w:eastAsia="宋体" w:hAnsi="Times New Roman" w:cs="Times New Roman"/>
          <w:sz w:val="24"/>
          <w:szCs w:val="24"/>
        </w:rPr>
        <w:t>特此公告。</w:t>
      </w:r>
    </w:p>
    <w:p w14:paraId="0823BCD3" w14:textId="77777777" w:rsidR="004F2203" w:rsidRDefault="004F2203">
      <w:pPr>
        <w:adjustRightInd w:val="0"/>
        <w:snapToGrid w:val="0"/>
        <w:spacing w:line="360" w:lineRule="auto"/>
        <w:ind w:firstLineChars="200" w:firstLine="480"/>
        <w:outlineLvl w:val="0"/>
        <w:rPr>
          <w:rFonts w:ascii="Times New Roman" w:eastAsia="宋体" w:hAnsi="Times New Roman" w:cs="Times New Roman"/>
          <w:sz w:val="24"/>
          <w:szCs w:val="24"/>
        </w:rPr>
      </w:pPr>
    </w:p>
    <w:p w14:paraId="5E0FAED6" w14:textId="77777777" w:rsidR="004F2203" w:rsidRDefault="004F2203">
      <w:pPr>
        <w:adjustRightInd w:val="0"/>
        <w:snapToGrid w:val="0"/>
        <w:spacing w:line="360" w:lineRule="auto"/>
        <w:ind w:firstLineChars="200" w:firstLine="480"/>
        <w:outlineLvl w:val="0"/>
        <w:rPr>
          <w:rFonts w:ascii="Times New Roman" w:eastAsia="宋体" w:hAnsi="Times New Roman" w:cs="Times New Roman"/>
          <w:sz w:val="24"/>
          <w:szCs w:val="24"/>
        </w:rPr>
      </w:pPr>
    </w:p>
    <w:p w14:paraId="1AB32CD3" w14:textId="77777777" w:rsidR="004F2203" w:rsidRDefault="004F2203">
      <w:pPr>
        <w:adjustRightInd w:val="0"/>
        <w:snapToGrid w:val="0"/>
        <w:spacing w:line="360" w:lineRule="auto"/>
        <w:ind w:firstLineChars="200" w:firstLine="480"/>
        <w:outlineLvl w:val="0"/>
        <w:rPr>
          <w:rFonts w:ascii="Times New Roman" w:eastAsia="宋体" w:hAnsi="Times New Roman" w:cs="Times New Roman"/>
          <w:sz w:val="24"/>
          <w:szCs w:val="24"/>
        </w:rPr>
      </w:pPr>
    </w:p>
    <w:p w14:paraId="66CB4F66" w14:textId="77777777" w:rsidR="004F2203" w:rsidRDefault="00000000">
      <w:pPr>
        <w:snapToGrid w:val="0"/>
        <w:spacing w:line="360" w:lineRule="auto"/>
        <w:ind w:firstLineChars="200" w:firstLine="482"/>
        <w:jc w:val="right"/>
        <w:rPr>
          <w:rFonts w:ascii="Times New Roman" w:eastAsia="宋体" w:hAnsi="Times New Roman" w:cs="Times New Roman"/>
          <w:b/>
          <w:sz w:val="24"/>
          <w:szCs w:val="24"/>
        </w:rPr>
      </w:pPr>
      <w:r>
        <w:rPr>
          <w:rFonts w:ascii="Times New Roman" w:eastAsia="宋体" w:hAnsi="Times New Roman" w:cs="Times New Roman"/>
          <w:b/>
          <w:sz w:val="24"/>
          <w:szCs w:val="24"/>
        </w:rPr>
        <w:t>中广核核技术发展股份有限公司</w:t>
      </w:r>
    </w:p>
    <w:p w14:paraId="20B1F777" w14:textId="77777777" w:rsidR="004F2203" w:rsidRDefault="00000000">
      <w:pPr>
        <w:snapToGrid w:val="0"/>
        <w:spacing w:line="360" w:lineRule="auto"/>
        <w:ind w:firstLineChars="200" w:firstLine="482"/>
        <w:jc w:val="right"/>
        <w:rPr>
          <w:rFonts w:ascii="Times New Roman" w:eastAsia="宋体" w:hAnsi="Times New Roman" w:cs="Times New Roman"/>
          <w:b/>
          <w:sz w:val="24"/>
          <w:szCs w:val="24"/>
        </w:rPr>
      </w:pPr>
      <w:r>
        <w:rPr>
          <w:rFonts w:ascii="Times New Roman" w:eastAsia="宋体" w:hAnsi="Times New Roman" w:cs="Times New Roman"/>
          <w:b/>
          <w:sz w:val="24"/>
          <w:szCs w:val="24"/>
        </w:rPr>
        <w:t>董事会</w:t>
      </w:r>
    </w:p>
    <w:p w14:paraId="666F49EC" w14:textId="796F71B9" w:rsidR="004F2203" w:rsidRDefault="00CB41FE">
      <w:pPr>
        <w:snapToGrid w:val="0"/>
        <w:spacing w:line="360" w:lineRule="auto"/>
        <w:ind w:firstLineChars="200" w:firstLine="482"/>
        <w:jc w:val="right"/>
        <w:rPr>
          <w:rFonts w:ascii="Times New Roman" w:eastAsia="宋体" w:hAnsi="Times New Roman" w:cs="Times New Roman"/>
          <w:b/>
          <w:sz w:val="24"/>
          <w:szCs w:val="24"/>
        </w:rPr>
      </w:pPr>
      <w:r>
        <w:rPr>
          <w:rFonts w:ascii="Times New Roman" w:eastAsia="宋体" w:hAnsi="Times New Roman" w:cs="Times New Roman"/>
          <w:b/>
          <w:sz w:val="24"/>
          <w:szCs w:val="24"/>
        </w:rPr>
        <w:t>2023</w:t>
      </w:r>
      <w:r>
        <w:rPr>
          <w:rFonts w:ascii="Times New Roman" w:eastAsia="宋体" w:hAnsi="Times New Roman" w:cs="Times New Roman"/>
          <w:b/>
          <w:sz w:val="24"/>
          <w:szCs w:val="24"/>
        </w:rPr>
        <w:t>年</w:t>
      </w:r>
      <w:r>
        <w:rPr>
          <w:rFonts w:ascii="Times New Roman" w:eastAsia="宋体" w:hAnsi="Times New Roman" w:cs="Times New Roman"/>
          <w:b/>
          <w:sz w:val="24"/>
          <w:szCs w:val="24"/>
        </w:rPr>
        <w:t>8</w:t>
      </w:r>
      <w:r>
        <w:rPr>
          <w:rFonts w:ascii="Times New Roman" w:eastAsia="宋体" w:hAnsi="Times New Roman" w:cs="Times New Roman"/>
          <w:b/>
          <w:sz w:val="24"/>
          <w:szCs w:val="24"/>
        </w:rPr>
        <w:t>月</w:t>
      </w:r>
      <w:r>
        <w:rPr>
          <w:rFonts w:ascii="Times New Roman" w:eastAsia="宋体" w:hAnsi="Times New Roman" w:cs="Times New Roman"/>
          <w:b/>
          <w:sz w:val="24"/>
          <w:szCs w:val="24"/>
        </w:rPr>
        <w:t>21</w:t>
      </w:r>
      <w:r w:rsidR="00000000">
        <w:rPr>
          <w:rFonts w:ascii="Times New Roman" w:eastAsia="宋体" w:hAnsi="Times New Roman" w:cs="Times New Roman"/>
          <w:b/>
          <w:sz w:val="24"/>
          <w:szCs w:val="24"/>
        </w:rPr>
        <w:t>日</w:t>
      </w:r>
    </w:p>
    <w:sectPr w:rsidR="004F220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00D2"/>
    <w:rsid w:val="00001BF5"/>
    <w:rsid w:val="0001114A"/>
    <w:rsid w:val="000671AF"/>
    <w:rsid w:val="00067E90"/>
    <w:rsid w:val="00097B39"/>
    <w:rsid w:val="000B5E55"/>
    <w:rsid w:val="000D2417"/>
    <w:rsid w:val="000E3F92"/>
    <w:rsid w:val="001313AD"/>
    <w:rsid w:val="00160CF5"/>
    <w:rsid w:val="00164D68"/>
    <w:rsid w:val="001D3A04"/>
    <w:rsid w:val="00202470"/>
    <w:rsid w:val="002143A3"/>
    <w:rsid w:val="0028483E"/>
    <w:rsid w:val="002D7F81"/>
    <w:rsid w:val="00340BDF"/>
    <w:rsid w:val="00350E8D"/>
    <w:rsid w:val="003A1272"/>
    <w:rsid w:val="003C03B4"/>
    <w:rsid w:val="003E328F"/>
    <w:rsid w:val="00462439"/>
    <w:rsid w:val="0048602D"/>
    <w:rsid w:val="004F2203"/>
    <w:rsid w:val="00542A04"/>
    <w:rsid w:val="005457A8"/>
    <w:rsid w:val="0058576B"/>
    <w:rsid w:val="005A2D71"/>
    <w:rsid w:val="005C6C68"/>
    <w:rsid w:val="006100D2"/>
    <w:rsid w:val="00615651"/>
    <w:rsid w:val="0064195A"/>
    <w:rsid w:val="00660C2D"/>
    <w:rsid w:val="006A5DC0"/>
    <w:rsid w:val="006A6FF6"/>
    <w:rsid w:val="00710856"/>
    <w:rsid w:val="00735F9A"/>
    <w:rsid w:val="00744423"/>
    <w:rsid w:val="00755DA8"/>
    <w:rsid w:val="00756E9F"/>
    <w:rsid w:val="007803D6"/>
    <w:rsid w:val="007955EF"/>
    <w:rsid w:val="007B3E1F"/>
    <w:rsid w:val="008247F0"/>
    <w:rsid w:val="00864477"/>
    <w:rsid w:val="0087698F"/>
    <w:rsid w:val="008E0184"/>
    <w:rsid w:val="009544E6"/>
    <w:rsid w:val="00956159"/>
    <w:rsid w:val="00983AC8"/>
    <w:rsid w:val="009962FB"/>
    <w:rsid w:val="009D1936"/>
    <w:rsid w:val="009F126C"/>
    <w:rsid w:val="009F5B95"/>
    <w:rsid w:val="00A153D2"/>
    <w:rsid w:val="00A62913"/>
    <w:rsid w:val="00A87310"/>
    <w:rsid w:val="00AD23C3"/>
    <w:rsid w:val="00AF11D2"/>
    <w:rsid w:val="00C12FEF"/>
    <w:rsid w:val="00C43489"/>
    <w:rsid w:val="00C62837"/>
    <w:rsid w:val="00C94F12"/>
    <w:rsid w:val="00CB41FE"/>
    <w:rsid w:val="00CD08B1"/>
    <w:rsid w:val="00CE2251"/>
    <w:rsid w:val="00CF52F5"/>
    <w:rsid w:val="00D30285"/>
    <w:rsid w:val="00D4184D"/>
    <w:rsid w:val="00D45274"/>
    <w:rsid w:val="00D647C4"/>
    <w:rsid w:val="00DF1D15"/>
    <w:rsid w:val="00E05BE9"/>
    <w:rsid w:val="00E3419C"/>
    <w:rsid w:val="00E67955"/>
    <w:rsid w:val="00E72902"/>
    <w:rsid w:val="00EE22A1"/>
    <w:rsid w:val="00F032AE"/>
    <w:rsid w:val="00F34B44"/>
    <w:rsid w:val="0D96121E"/>
    <w:rsid w:val="137E7534"/>
    <w:rsid w:val="1E0A49F9"/>
    <w:rsid w:val="266E0A4F"/>
    <w:rsid w:val="2A4B36AC"/>
    <w:rsid w:val="2AC23E6A"/>
    <w:rsid w:val="30485C00"/>
    <w:rsid w:val="305C6D56"/>
    <w:rsid w:val="3BD05BF2"/>
    <w:rsid w:val="3E522365"/>
    <w:rsid w:val="3F065872"/>
    <w:rsid w:val="44560056"/>
    <w:rsid w:val="46661C81"/>
    <w:rsid w:val="49713306"/>
    <w:rsid w:val="51846E3C"/>
    <w:rsid w:val="555D5DC7"/>
    <w:rsid w:val="59DA689A"/>
    <w:rsid w:val="5B335B43"/>
    <w:rsid w:val="61E21667"/>
    <w:rsid w:val="657E0158"/>
    <w:rsid w:val="68882674"/>
    <w:rsid w:val="69953C3A"/>
    <w:rsid w:val="6DB84BB8"/>
    <w:rsid w:val="72B410CD"/>
    <w:rsid w:val="756D2FF8"/>
    <w:rsid w:val="7859737C"/>
    <w:rsid w:val="789C0C31"/>
    <w:rsid w:val="79130CD4"/>
    <w:rsid w:val="7B251FF4"/>
    <w:rsid w:val="7D821963"/>
    <w:rsid w:val="7DD67777"/>
    <w:rsid w:val="7E026B5A"/>
    <w:rsid w:val="7E701B92"/>
    <w:rsid w:val="7EFF092B"/>
    <w:rsid w:val="7FB77C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F2BF6F8"/>
  <w14:defaultImageDpi w14:val="32767"/>
  <w15:docId w15:val="{ADA646AC-5AF5-44A4-89D5-0862248F3F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qFormat/>
    <w:rPr>
      <w:b/>
      <w:bCs/>
    </w:rPr>
  </w:style>
  <w:style w:type="character" w:styleId="ad">
    <w:name w:val="annotation reference"/>
    <w:basedOn w:val="a0"/>
    <w:uiPriority w:val="99"/>
    <w:semiHidden/>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paragraph" w:styleId="ae">
    <w:name w:val="List Paragraph"/>
    <w:basedOn w:val="a"/>
    <w:uiPriority w:val="34"/>
    <w:qFormat/>
    <w:pPr>
      <w:ind w:firstLineChars="200" w:firstLine="420"/>
    </w:pPr>
  </w:style>
  <w:style w:type="paragraph" w:customStyle="1" w:styleId="1">
    <w:name w:val="修订1"/>
    <w:hidden/>
    <w:uiPriority w:val="99"/>
    <w:semiHidden/>
    <w:qFormat/>
    <w:rPr>
      <w:kern w:val="2"/>
      <w:sz w:val="21"/>
      <w:szCs w:val="22"/>
    </w:rPr>
  </w:style>
  <w:style w:type="character" w:customStyle="1" w:styleId="a6">
    <w:name w:val="批注框文本 字符"/>
    <w:basedOn w:val="a0"/>
    <w:link w:val="a5"/>
    <w:uiPriority w:val="99"/>
    <w:semiHidden/>
    <w:qFormat/>
    <w:rPr>
      <w:kern w:val="2"/>
      <w:sz w:val="18"/>
      <w:szCs w:val="18"/>
    </w:rPr>
  </w:style>
  <w:style w:type="paragraph" w:customStyle="1" w:styleId="2">
    <w:name w:val="修订2"/>
    <w:hidden/>
    <w:uiPriority w:val="99"/>
    <w:semiHidden/>
    <w:qFormat/>
    <w:rPr>
      <w:kern w:val="2"/>
      <w:sz w:val="21"/>
      <w:szCs w:val="22"/>
    </w:rPr>
  </w:style>
  <w:style w:type="paragraph" w:customStyle="1" w:styleId="3">
    <w:name w:val="修订3"/>
    <w:hidden/>
    <w:uiPriority w:val="99"/>
    <w:unhideWhenUsed/>
    <w:rPr>
      <w:kern w:val="2"/>
      <w:sz w:val="21"/>
      <w:szCs w:val="22"/>
    </w:rPr>
  </w:style>
  <w:style w:type="character" w:customStyle="1" w:styleId="a4">
    <w:name w:val="批注文字 字符"/>
    <w:basedOn w:val="a0"/>
    <w:link w:val="a3"/>
    <w:uiPriority w:val="99"/>
    <w:semiHidden/>
    <w:rPr>
      <w:kern w:val="2"/>
      <w:sz w:val="21"/>
      <w:szCs w:val="22"/>
    </w:rPr>
  </w:style>
  <w:style w:type="character" w:customStyle="1" w:styleId="ac">
    <w:name w:val="批注主题 字符"/>
    <w:basedOn w:val="a4"/>
    <w:link w:val="ab"/>
    <w:uiPriority w:val="99"/>
    <w:semiHidden/>
    <w:rPr>
      <w:b/>
      <w:bCs/>
      <w:kern w:val="2"/>
      <w:sz w:val="21"/>
      <w:szCs w:val="22"/>
    </w:rPr>
  </w:style>
  <w:style w:type="paragraph" w:styleId="af">
    <w:name w:val="Revision"/>
    <w:hidden/>
    <w:uiPriority w:val="99"/>
    <w:unhideWhenUsed/>
    <w:rsid w:val="00CB41FE"/>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121</TotalTime>
  <Pages>1</Pages>
  <Words>286</Words>
  <Characters>1635</Characters>
  <Application>Microsoft Office Word</Application>
  <DocSecurity>0</DocSecurity>
  <Lines>13</Lines>
  <Paragraphs>3</Paragraphs>
  <ScaleCrop>false</ScaleCrop>
  <Company/>
  <LinksUpToDate>false</LinksUpToDate>
  <CharactersWithSpaces>1918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Xie Samuel</dc:creator>
  <cp:lastModifiedBy>mouhaitao 123</cp:lastModifiedBy>
  <cp:revision>20</cp:revision>
  <dcterms:created xsi:type="dcterms:W3CDTF">2023-01-28T02:18:00Z</dcterms:created>
  <dcterms:modified xsi:type="dcterms:W3CDTF">2023-08-18T06:53:00Z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