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5000" w:type="pct"/>
        <w:tblInd w:w="0" w:type="dxa"/>
        <w:tblLayout w:type="autofit"/>
        <w:tblCellMar>
          <w:top w:w="0" w:type="dxa"/>
          <w:left w:w="108" w:type="dxa"/>
          <w:bottom w:w="0" w:type="dxa"/>
          <w:right w:w="108" w:type="dxa"/>
        </w:tblCellMar>
      </w:tblPr>
      <w:tblGrid>
        <w:gridCol w:w="2841"/>
        <w:gridCol w:w="2842"/>
        <w:gridCol w:w="2842"/>
      </w:tblGrid>
      <w:tr>
        <w:tblPrEx>
          <w:tblCellMar>
            <w:top w:w="0" w:type="dxa"/>
            <w:left w:w="108" w:type="dxa"/>
            <w:bottom w:w="0" w:type="dxa"/>
            <w:right w:w="108" w:type="dxa"/>
          </w:tblCellMar>
        </w:tblPrEx>
        <w:tc>
          <w:tcPr>
            <w:tcW w:w="1666" w:type="pct"/>
            <w:noWrap w:val="0"/>
            <w:vAlign w:val="top"/>
          </w:tcPr>
          <w:p>
            <w:pPr>
              <w:adjustRightInd w:val="0"/>
              <w:snapToGrid w:val="0"/>
              <w:spacing w:line="440" w:lineRule="exact"/>
              <w:rPr>
                <w:rFonts w:hint="default" w:ascii="Times New Roman" w:hAnsi="Times New Roman" w:cs="Times New Roman"/>
                <w:sz w:val="24"/>
              </w:rPr>
            </w:pPr>
            <w:r>
              <w:rPr>
                <w:rFonts w:hint="default" w:ascii="Times New Roman" w:hAnsi="Times New Roman" w:cs="Times New Roman"/>
                <w:sz w:val="24"/>
              </w:rPr>
              <w:t>证券代码：000881</w:t>
            </w:r>
          </w:p>
        </w:tc>
        <w:tc>
          <w:tcPr>
            <w:tcW w:w="1667" w:type="pct"/>
            <w:noWrap w:val="0"/>
            <w:vAlign w:val="top"/>
          </w:tcPr>
          <w:p>
            <w:pPr>
              <w:adjustRightInd w:val="0"/>
              <w:snapToGrid w:val="0"/>
              <w:spacing w:line="440" w:lineRule="exact"/>
              <w:jc w:val="center"/>
              <w:rPr>
                <w:rFonts w:hint="default" w:ascii="Times New Roman" w:hAnsi="Times New Roman" w:cs="Times New Roman"/>
                <w:sz w:val="24"/>
              </w:rPr>
            </w:pPr>
            <w:r>
              <w:rPr>
                <w:rFonts w:hint="default" w:ascii="Times New Roman" w:hAnsi="Times New Roman" w:cs="Times New Roman"/>
                <w:sz w:val="24"/>
              </w:rPr>
              <w:t>证券简称：中广核技</w:t>
            </w:r>
          </w:p>
        </w:tc>
        <w:tc>
          <w:tcPr>
            <w:tcW w:w="1667" w:type="pct"/>
            <w:noWrap w:val="0"/>
            <w:vAlign w:val="top"/>
          </w:tcPr>
          <w:p>
            <w:pPr>
              <w:adjustRightInd w:val="0"/>
              <w:snapToGrid w:val="0"/>
              <w:spacing w:line="440" w:lineRule="exact"/>
              <w:jc w:val="right"/>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rPr>
              <w:t>公告编号：202</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rPr>
              <w:t>-0</w:t>
            </w:r>
            <w:r>
              <w:rPr>
                <w:rFonts w:hint="eastAsia" w:cs="Times New Roman"/>
                <w:color w:val="auto"/>
                <w:sz w:val="24"/>
                <w:lang w:val="en-US" w:eastAsia="zh-CN"/>
              </w:rPr>
              <w:t>78</w:t>
            </w:r>
          </w:p>
        </w:tc>
      </w:tr>
    </w:tbl>
    <w:p>
      <w:pPr>
        <w:snapToGrid w:val="0"/>
        <w:spacing w:before="156" w:beforeLines="50"/>
        <w:jc w:val="center"/>
        <w:rPr>
          <w:b/>
          <w:sz w:val="36"/>
          <w:szCs w:val="36"/>
        </w:rPr>
      </w:pPr>
      <w:r>
        <w:rPr>
          <w:b/>
          <w:sz w:val="36"/>
          <w:szCs w:val="36"/>
        </w:rPr>
        <w:t>中广核核技术发展股份有限公司</w:t>
      </w:r>
    </w:p>
    <w:p>
      <w:pPr>
        <w:snapToGrid w:val="0"/>
        <w:jc w:val="center"/>
        <w:rPr>
          <w:b/>
          <w:sz w:val="36"/>
          <w:szCs w:val="36"/>
        </w:rPr>
      </w:pPr>
      <w:r>
        <w:rPr>
          <w:b/>
          <w:sz w:val="36"/>
          <w:szCs w:val="36"/>
        </w:rPr>
        <w:t>2023</w:t>
      </w:r>
      <w:r>
        <w:rPr>
          <w:rFonts w:hint="eastAsia"/>
          <w:b/>
          <w:sz w:val="36"/>
          <w:szCs w:val="36"/>
          <w:lang w:val="en-US" w:eastAsia="zh-CN"/>
        </w:rPr>
        <w:t>年</w:t>
      </w:r>
      <w:r>
        <w:rPr>
          <w:rFonts w:hint="eastAsia"/>
          <w:b/>
          <w:sz w:val="36"/>
          <w:szCs w:val="36"/>
        </w:rPr>
        <w:t>半年</w:t>
      </w:r>
      <w:r>
        <w:rPr>
          <w:b/>
          <w:sz w:val="36"/>
          <w:szCs w:val="36"/>
        </w:rPr>
        <w:t>度募集资金存放与使用情况</w:t>
      </w:r>
      <w:r>
        <w:rPr>
          <w:rFonts w:hint="eastAsia"/>
          <w:b/>
          <w:sz w:val="36"/>
          <w:szCs w:val="36"/>
        </w:rPr>
        <w:t>的专项报告</w:t>
      </w:r>
    </w:p>
    <w:p>
      <w:pPr>
        <w:snapToGrid w:val="0"/>
        <w:spacing w:before="156" w:beforeLines="50" w:line="440" w:lineRule="atLeast"/>
        <w:ind w:firstLine="422" w:firstLineChars="200"/>
        <w:rPr>
          <w:b/>
          <w:szCs w:val="21"/>
        </w:rPr>
      </w:pPr>
      <w:r>
        <w:rPr>
          <w:b/>
          <w:szCs w:val="21"/>
        </w:rPr>
        <w:t>本公司及董事会全体成员保证信息披露内容的真实、准确和完整，没有虚假记载、误导性陈述或重大遗漏。</w:t>
      </w:r>
    </w:p>
    <w:p>
      <w:pPr>
        <w:pStyle w:val="29"/>
        <w:numPr>
          <w:ilvl w:val="0"/>
          <w:numId w:val="1"/>
        </w:numPr>
        <w:adjustRightInd w:val="0"/>
        <w:snapToGrid w:val="0"/>
        <w:spacing w:line="440" w:lineRule="atLeast"/>
        <w:ind w:firstLine="482"/>
        <w:outlineLvl w:val="0"/>
        <w:rPr>
          <w:b/>
          <w:sz w:val="24"/>
        </w:rPr>
      </w:pPr>
      <w:r>
        <w:rPr>
          <w:b/>
          <w:sz w:val="24"/>
        </w:rPr>
        <w:t>募集资金基本情况</w:t>
      </w:r>
    </w:p>
    <w:p>
      <w:pPr>
        <w:adjustRightInd w:val="0"/>
        <w:snapToGrid w:val="0"/>
        <w:spacing w:line="440" w:lineRule="atLeast"/>
        <w:ind w:firstLine="480" w:firstLineChars="200"/>
        <w:rPr>
          <w:sz w:val="24"/>
        </w:rPr>
      </w:pPr>
      <w:r>
        <w:rPr>
          <w:rFonts w:hint="eastAsia"/>
          <w:sz w:val="24"/>
        </w:rPr>
        <w:t>根据</w:t>
      </w:r>
      <w:r>
        <w:rPr>
          <w:sz w:val="24"/>
        </w:rPr>
        <w:t>中国证券监督管理委员会《关于核准中国大连国际合作（集团）股份有限公司向中广核核技术应用有限公司等发行股份购买资产并募集配套资金的批复》（证监许可[2016]2412号）核准，公司非公开发行人民币普通股（A股）267,686,421股，每股面值1元，实际发行价格每股10.46元，共募集人民币2,799,999,963.66元，扣除承销费用40,500,000.00元，以及与发行有关的费用4,363,290.60元（律师费、验资费、证券登记费等），实际募集资金净额为人民币2,755,135,673.06元。上述资金已于2016年12月30日全部到位，并经中准会计师事务所（特殊普通合伙）予以验证，并出具了《验资报告》（中准验字[2016]1210号）。</w:t>
      </w:r>
      <w:r>
        <w:rPr>
          <w:sz w:val="24"/>
        </w:rPr>
        <w:tab/>
      </w:r>
    </w:p>
    <w:tbl>
      <w:tblPr>
        <w:tblStyle w:val="9"/>
        <w:tblW w:w="8335" w:type="dxa"/>
        <w:tblInd w:w="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426"/>
        <w:gridCol w:w="19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trPr>
        <w:tc>
          <w:tcPr>
            <w:tcW w:w="6426" w:type="dxa"/>
            <w:tcBorders>
              <w:tl2br w:val="nil"/>
              <w:tr2bl w:val="nil"/>
            </w:tcBorders>
            <w:shd w:val="clear" w:color="auto" w:fill="D7D7D7"/>
            <w:vAlign w:val="center"/>
          </w:tcPr>
          <w:p>
            <w:pPr>
              <w:jc w:val="center"/>
              <w:rPr>
                <w:b/>
                <w:bCs/>
                <w:color w:val="000000"/>
                <w:szCs w:val="21"/>
              </w:rPr>
            </w:pPr>
            <w:r>
              <w:rPr>
                <w:b/>
                <w:bCs/>
                <w:color w:val="000000"/>
                <w:szCs w:val="21"/>
              </w:rPr>
              <w:t>项目</w:t>
            </w:r>
          </w:p>
        </w:tc>
        <w:tc>
          <w:tcPr>
            <w:tcW w:w="1909" w:type="dxa"/>
            <w:tcBorders>
              <w:tl2br w:val="nil"/>
              <w:tr2bl w:val="nil"/>
            </w:tcBorders>
            <w:shd w:val="clear" w:color="auto" w:fill="D7D7D7"/>
            <w:vAlign w:val="center"/>
          </w:tcPr>
          <w:p>
            <w:pPr>
              <w:widowControl/>
              <w:jc w:val="center"/>
              <w:textAlignment w:val="center"/>
              <w:rPr>
                <w:b/>
                <w:bCs/>
                <w:color w:val="000000"/>
                <w:szCs w:val="21"/>
              </w:rPr>
            </w:pPr>
            <w:r>
              <w:rPr>
                <w:b/>
                <w:bCs/>
                <w:color w:val="000000"/>
                <w:kern w:val="0"/>
                <w:szCs w:val="21"/>
                <w:lang w:bidi="ar"/>
              </w:rPr>
              <w:t>金额（人民币元）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426" w:type="dxa"/>
            <w:tcBorders>
              <w:tl2br w:val="nil"/>
              <w:tr2bl w:val="nil"/>
            </w:tcBorders>
            <w:shd w:val="clear" w:color="auto" w:fill="D7D7D7"/>
            <w:vAlign w:val="center"/>
          </w:tcPr>
          <w:p>
            <w:pPr>
              <w:widowControl/>
              <w:textAlignment w:val="center"/>
              <w:rPr>
                <w:color w:val="000000"/>
                <w:szCs w:val="21"/>
              </w:rPr>
            </w:pPr>
            <w:r>
              <w:rPr>
                <w:color w:val="000000"/>
                <w:kern w:val="0"/>
                <w:szCs w:val="21"/>
                <w:lang w:bidi="ar"/>
              </w:rPr>
              <w:t>募集资金总额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2,799,999,963.66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减：财务顾问费及承销费用</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42,500,000.00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增值税</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2,550,000.00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trPr>
        <w:tc>
          <w:tcPr>
            <w:tcW w:w="6426" w:type="dxa"/>
            <w:tcBorders>
              <w:tl2br w:val="nil"/>
              <w:tr2bl w:val="nil"/>
            </w:tcBorders>
            <w:shd w:val="clear" w:color="auto" w:fill="D7D7D7" w:themeFill="background1" w:themeFillShade="D8"/>
            <w:vAlign w:val="center"/>
          </w:tcPr>
          <w:p>
            <w:pPr>
              <w:widowControl/>
              <w:textAlignment w:val="center"/>
              <w:rPr>
                <w:color w:val="000000"/>
                <w:szCs w:val="21"/>
              </w:rPr>
            </w:pPr>
            <w:r>
              <w:rPr>
                <w:rStyle w:val="31"/>
                <w:b w:val="0"/>
                <w:bCs w:val="0"/>
                <w:sz w:val="21"/>
                <w:szCs w:val="21"/>
                <w:lang w:bidi="ar"/>
              </w:rPr>
              <w:t>2016</w:t>
            </w:r>
            <w:r>
              <w:rPr>
                <w:rStyle w:val="32"/>
                <w:rFonts w:hint="default" w:ascii="Times New Roman" w:hAnsi="Times New Roman" w:cs="Times New Roman"/>
                <w:b w:val="0"/>
                <w:bCs w:val="0"/>
                <w:sz w:val="21"/>
                <w:szCs w:val="21"/>
                <w:lang w:bidi="ar"/>
              </w:rPr>
              <w:t>年</w:t>
            </w:r>
            <w:r>
              <w:rPr>
                <w:rStyle w:val="31"/>
                <w:b w:val="0"/>
                <w:bCs w:val="0"/>
                <w:sz w:val="21"/>
                <w:szCs w:val="21"/>
                <w:lang w:bidi="ar"/>
              </w:rPr>
              <w:t>12</w:t>
            </w:r>
            <w:r>
              <w:rPr>
                <w:rStyle w:val="32"/>
                <w:rFonts w:hint="default" w:ascii="Times New Roman" w:hAnsi="Times New Roman" w:cs="Times New Roman"/>
                <w:b w:val="0"/>
                <w:bCs w:val="0"/>
                <w:sz w:val="21"/>
                <w:szCs w:val="21"/>
                <w:lang w:bidi="ar"/>
              </w:rPr>
              <w:t>月</w:t>
            </w:r>
            <w:r>
              <w:rPr>
                <w:rStyle w:val="31"/>
                <w:b w:val="0"/>
                <w:bCs w:val="0"/>
                <w:sz w:val="21"/>
                <w:szCs w:val="21"/>
                <w:lang w:bidi="ar"/>
              </w:rPr>
              <w:t>31</w:t>
            </w:r>
            <w:r>
              <w:rPr>
                <w:rStyle w:val="32"/>
                <w:rFonts w:hint="default" w:ascii="Times New Roman" w:hAnsi="Times New Roman" w:cs="Times New Roman"/>
                <w:b w:val="0"/>
                <w:bCs w:val="0"/>
                <w:sz w:val="21"/>
                <w:szCs w:val="21"/>
                <w:lang w:bidi="ar"/>
              </w:rPr>
              <w:t>日募集资金账户余额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2,754,949,963.66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减：本期使用募集资金置换先期投入募集资金投资项目的自有资金</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137,807,200.00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补充流动资金</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361,200,000.00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募集资金项目支出</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64,439,700.00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使用闲置募集资金购买保本型理财产品</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1,818,500,000.00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使用闲置募集资金暂时补充流动资金</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137,000,000.00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支付股票发行登记等费用</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524,667.96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加：募集资金利息收入和投资收益扣除银行手续费等</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32,140,974.11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trPr>
        <w:tc>
          <w:tcPr>
            <w:tcW w:w="6426" w:type="dxa"/>
            <w:tcBorders>
              <w:tl2br w:val="nil"/>
              <w:tr2bl w:val="nil"/>
            </w:tcBorders>
            <w:shd w:val="clear" w:color="auto" w:fill="D7D7D7"/>
            <w:vAlign w:val="center"/>
          </w:tcPr>
          <w:p>
            <w:pPr>
              <w:widowControl/>
              <w:textAlignment w:val="center"/>
              <w:rPr>
                <w:color w:val="000000"/>
                <w:szCs w:val="21"/>
              </w:rPr>
            </w:pPr>
            <w:r>
              <w:rPr>
                <w:rStyle w:val="31"/>
                <w:b w:val="0"/>
                <w:bCs w:val="0"/>
                <w:sz w:val="21"/>
                <w:szCs w:val="21"/>
                <w:lang w:bidi="ar"/>
              </w:rPr>
              <w:t>2017</w:t>
            </w:r>
            <w:r>
              <w:rPr>
                <w:rStyle w:val="32"/>
                <w:rFonts w:hint="default" w:ascii="Times New Roman" w:hAnsi="Times New Roman" w:cs="Times New Roman"/>
                <w:b w:val="0"/>
                <w:bCs w:val="0"/>
                <w:sz w:val="21"/>
                <w:szCs w:val="21"/>
                <w:lang w:bidi="ar"/>
              </w:rPr>
              <w:t>年</w:t>
            </w:r>
            <w:r>
              <w:rPr>
                <w:rStyle w:val="31"/>
                <w:b w:val="0"/>
                <w:bCs w:val="0"/>
                <w:sz w:val="21"/>
                <w:szCs w:val="21"/>
                <w:lang w:bidi="ar"/>
              </w:rPr>
              <w:t>12</w:t>
            </w:r>
            <w:r>
              <w:rPr>
                <w:rStyle w:val="32"/>
                <w:rFonts w:hint="default" w:ascii="Times New Roman" w:hAnsi="Times New Roman" w:cs="Times New Roman"/>
                <w:b w:val="0"/>
                <w:bCs w:val="0"/>
                <w:sz w:val="21"/>
                <w:szCs w:val="21"/>
                <w:lang w:bidi="ar"/>
              </w:rPr>
              <w:t>月</w:t>
            </w:r>
            <w:r>
              <w:rPr>
                <w:rStyle w:val="31"/>
                <w:b w:val="0"/>
                <w:bCs w:val="0"/>
                <w:sz w:val="21"/>
                <w:szCs w:val="21"/>
                <w:lang w:bidi="ar"/>
              </w:rPr>
              <w:t>31</w:t>
            </w:r>
            <w:r>
              <w:rPr>
                <w:rStyle w:val="32"/>
                <w:rFonts w:hint="default" w:ascii="Times New Roman" w:hAnsi="Times New Roman" w:cs="Times New Roman"/>
                <w:b w:val="0"/>
                <w:bCs w:val="0"/>
                <w:sz w:val="21"/>
                <w:szCs w:val="21"/>
                <w:lang w:bidi="ar"/>
              </w:rPr>
              <w:t>日募集资金账户余额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267,619,369.81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减：募集资金项目支出</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169,307,800.00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使用闲置募集资金暂时补充流动资金</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133,000,000.00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使用闲置募集资金购买保本型理财产品的期末金额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1,636,000,000.00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加：使用闲置募集资金购买保本型理财产品的期初金额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1,818,500,000.00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募集资金利息收入和投资收益扣除银行手续费等</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74,097,132.89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D7D7D7"/>
            <w:vAlign w:val="center"/>
          </w:tcPr>
          <w:p>
            <w:pPr>
              <w:widowControl/>
              <w:textAlignment w:val="center"/>
              <w:rPr>
                <w:color w:val="000000"/>
                <w:szCs w:val="21"/>
              </w:rPr>
            </w:pPr>
            <w:r>
              <w:rPr>
                <w:rStyle w:val="31"/>
                <w:b w:val="0"/>
                <w:bCs w:val="0"/>
                <w:sz w:val="21"/>
                <w:szCs w:val="21"/>
                <w:lang w:bidi="ar"/>
              </w:rPr>
              <w:t>2018</w:t>
            </w:r>
            <w:r>
              <w:rPr>
                <w:rStyle w:val="32"/>
                <w:rFonts w:hint="default" w:ascii="Times New Roman" w:hAnsi="Times New Roman" w:cs="Times New Roman"/>
                <w:b w:val="0"/>
                <w:bCs w:val="0"/>
                <w:sz w:val="21"/>
                <w:szCs w:val="21"/>
                <w:lang w:bidi="ar"/>
              </w:rPr>
              <w:t>年</w:t>
            </w:r>
            <w:r>
              <w:rPr>
                <w:rStyle w:val="31"/>
                <w:b w:val="0"/>
                <w:bCs w:val="0"/>
                <w:sz w:val="21"/>
                <w:szCs w:val="21"/>
                <w:lang w:bidi="ar"/>
              </w:rPr>
              <w:t>12</w:t>
            </w:r>
            <w:r>
              <w:rPr>
                <w:rStyle w:val="32"/>
                <w:rFonts w:hint="default" w:ascii="Times New Roman" w:hAnsi="Times New Roman" w:cs="Times New Roman"/>
                <w:b w:val="0"/>
                <w:bCs w:val="0"/>
                <w:sz w:val="21"/>
                <w:szCs w:val="21"/>
                <w:lang w:bidi="ar"/>
              </w:rPr>
              <w:t>月</w:t>
            </w:r>
            <w:r>
              <w:rPr>
                <w:rStyle w:val="31"/>
                <w:b w:val="0"/>
                <w:bCs w:val="0"/>
                <w:sz w:val="21"/>
                <w:szCs w:val="21"/>
                <w:lang w:bidi="ar"/>
              </w:rPr>
              <w:t>31</w:t>
            </w:r>
            <w:r>
              <w:rPr>
                <w:rStyle w:val="32"/>
                <w:rFonts w:hint="default" w:ascii="Times New Roman" w:hAnsi="Times New Roman" w:cs="Times New Roman"/>
                <w:b w:val="0"/>
                <w:bCs w:val="0"/>
                <w:sz w:val="21"/>
                <w:szCs w:val="21"/>
                <w:lang w:bidi="ar"/>
              </w:rPr>
              <w:t>日募集资金账户余额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221,908,702.70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减：募集资金项目支出</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237,400,225.09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使用闲置募集资金永久补充流动资金</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1,005,340,000.00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使用闲置募集资金购买保本型理财产品</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685,000,000.00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加：使用闲置募集资金购买保本型理财产品的期初金额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1,636,000,000.00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累计募集资金利息扣除银行手续费等</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43,442,991.59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归还使用闲置募集资金暂时补充流动资金</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270,000,000.00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D7D7D7"/>
            <w:vAlign w:val="center"/>
          </w:tcPr>
          <w:p>
            <w:pPr>
              <w:widowControl/>
              <w:textAlignment w:val="center"/>
              <w:rPr>
                <w:color w:val="000000"/>
                <w:szCs w:val="21"/>
              </w:rPr>
            </w:pPr>
            <w:r>
              <w:rPr>
                <w:rStyle w:val="31"/>
                <w:b w:val="0"/>
                <w:bCs w:val="0"/>
                <w:sz w:val="21"/>
                <w:szCs w:val="21"/>
                <w:lang w:bidi="ar"/>
              </w:rPr>
              <w:t>2019</w:t>
            </w:r>
            <w:r>
              <w:rPr>
                <w:rStyle w:val="32"/>
                <w:rFonts w:hint="default" w:ascii="Times New Roman" w:hAnsi="Times New Roman" w:cs="Times New Roman"/>
                <w:b w:val="0"/>
                <w:bCs w:val="0"/>
                <w:sz w:val="21"/>
                <w:szCs w:val="21"/>
                <w:lang w:bidi="ar"/>
              </w:rPr>
              <w:t>年</w:t>
            </w:r>
            <w:r>
              <w:rPr>
                <w:rStyle w:val="31"/>
                <w:b w:val="0"/>
                <w:bCs w:val="0"/>
                <w:sz w:val="21"/>
                <w:szCs w:val="21"/>
                <w:lang w:bidi="ar"/>
              </w:rPr>
              <w:t>12</w:t>
            </w:r>
            <w:r>
              <w:rPr>
                <w:rStyle w:val="32"/>
                <w:rFonts w:hint="default" w:ascii="Times New Roman" w:hAnsi="Times New Roman" w:cs="Times New Roman"/>
                <w:b w:val="0"/>
                <w:bCs w:val="0"/>
                <w:sz w:val="21"/>
                <w:szCs w:val="21"/>
                <w:lang w:bidi="ar"/>
              </w:rPr>
              <w:t>月</w:t>
            </w:r>
            <w:r>
              <w:rPr>
                <w:rStyle w:val="31"/>
                <w:b w:val="0"/>
                <w:bCs w:val="0"/>
                <w:sz w:val="21"/>
                <w:szCs w:val="21"/>
                <w:lang w:bidi="ar"/>
              </w:rPr>
              <w:t>31</w:t>
            </w:r>
            <w:r>
              <w:rPr>
                <w:rStyle w:val="32"/>
                <w:rFonts w:hint="default" w:ascii="Times New Roman" w:hAnsi="Times New Roman" w:cs="Times New Roman"/>
                <w:b w:val="0"/>
                <w:bCs w:val="0"/>
                <w:sz w:val="21"/>
                <w:szCs w:val="21"/>
                <w:lang w:bidi="ar"/>
              </w:rPr>
              <w:t>日募集资金账户余额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243,611,469.20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减：募集资金项目支出</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195,066,357.43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使用闲置募集资金永久补充流动资金</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使用闲置募集资金购买保本型理财产品</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565,000,000.00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加：使用闲置募集资金购买保本型理财产品的期初金额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685,000,000.00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累计募集资金利息扣除银行手续费等</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22,131,344.89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归还使用闲置募集资金暂时补充流动资金</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426" w:type="dxa"/>
            <w:tcBorders>
              <w:tl2br w:val="nil"/>
              <w:tr2bl w:val="nil"/>
            </w:tcBorders>
            <w:shd w:val="clear" w:color="auto" w:fill="D7D7D7"/>
            <w:vAlign w:val="center"/>
          </w:tcPr>
          <w:p>
            <w:pPr>
              <w:widowControl/>
              <w:textAlignment w:val="center"/>
              <w:rPr>
                <w:color w:val="000000"/>
                <w:szCs w:val="21"/>
              </w:rPr>
            </w:pPr>
            <w:r>
              <w:rPr>
                <w:rStyle w:val="31"/>
                <w:b w:val="0"/>
                <w:bCs w:val="0"/>
                <w:sz w:val="21"/>
                <w:szCs w:val="21"/>
                <w:lang w:bidi="ar"/>
              </w:rPr>
              <w:t>2020</w:t>
            </w:r>
            <w:r>
              <w:rPr>
                <w:rStyle w:val="32"/>
                <w:rFonts w:hint="default" w:ascii="Times New Roman" w:hAnsi="Times New Roman" w:cs="Times New Roman"/>
                <w:b w:val="0"/>
                <w:bCs w:val="0"/>
                <w:sz w:val="21"/>
                <w:szCs w:val="21"/>
                <w:lang w:bidi="ar"/>
              </w:rPr>
              <w:t>年</w:t>
            </w:r>
            <w:r>
              <w:rPr>
                <w:rStyle w:val="31"/>
                <w:b w:val="0"/>
                <w:bCs w:val="0"/>
                <w:sz w:val="21"/>
                <w:szCs w:val="21"/>
                <w:lang w:bidi="ar"/>
              </w:rPr>
              <w:t>12</w:t>
            </w:r>
            <w:r>
              <w:rPr>
                <w:rStyle w:val="32"/>
                <w:rFonts w:hint="default" w:ascii="Times New Roman" w:hAnsi="Times New Roman" w:cs="Times New Roman"/>
                <w:b w:val="0"/>
                <w:bCs w:val="0"/>
                <w:sz w:val="21"/>
                <w:szCs w:val="21"/>
                <w:lang w:bidi="ar"/>
              </w:rPr>
              <w:t>月</w:t>
            </w:r>
            <w:r>
              <w:rPr>
                <w:rStyle w:val="31"/>
                <w:b w:val="0"/>
                <w:bCs w:val="0"/>
                <w:sz w:val="21"/>
                <w:szCs w:val="21"/>
                <w:lang w:bidi="ar"/>
              </w:rPr>
              <w:t>31</w:t>
            </w:r>
            <w:r>
              <w:rPr>
                <w:rStyle w:val="32"/>
                <w:rFonts w:hint="default" w:ascii="Times New Roman" w:hAnsi="Times New Roman" w:cs="Times New Roman"/>
                <w:b w:val="0"/>
                <w:bCs w:val="0"/>
                <w:sz w:val="21"/>
                <w:szCs w:val="21"/>
                <w:lang w:bidi="ar"/>
              </w:rPr>
              <w:t>日募集资金账户余额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190,676,456.66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减：募集资金项目支出</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220,526,311.93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使用闲置募集资金永久补充流动资金</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使用闲置募集资金购买保本型理财产品</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457,000,000.00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加：使用闲置募集资金购买保本型理财产品的期初金额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565,000,000.00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累计募集资金利息扣除银行手续费等</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11,731,612.94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归还使用闲置募集资金暂时补充流动资金</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6" w:type="dxa"/>
            <w:tcBorders>
              <w:tl2br w:val="nil"/>
              <w:tr2bl w:val="nil"/>
            </w:tcBorders>
            <w:shd w:val="clear" w:color="auto" w:fill="D7D7D7"/>
            <w:vAlign w:val="center"/>
          </w:tcPr>
          <w:p>
            <w:pPr>
              <w:widowControl/>
              <w:textAlignment w:val="center"/>
              <w:rPr>
                <w:color w:val="000000"/>
                <w:szCs w:val="21"/>
              </w:rPr>
            </w:pPr>
            <w:r>
              <w:rPr>
                <w:rStyle w:val="31"/>
                <w:b w:val="0"/>
                <w:bCs w:val="0"/>
                <w:sz w:val="21"/>
                <w:szCs w:val="21"/>
                <w:lang w:bidi="ar"/>
              </w:rPr>
              <w:t>2021</w:t>
            </w:r>
            <w:r>
              <w:rPr>
                <w:rStyle w:val="32"/>
                <w:rFonts w:hint="default" w:ascii="Times New Roman" w:hAnsi="Times New Roman" w:cs="Times New Roman"/>
                <w:b w:val="0"/>
                <w:bCs w:val="0"/>
                <w:sz w:val="21"/>
                <w:szCs w:val="21"/>
                <w:lang w:bidi="ar"/>
              </w:rPr>
              <w:t>年</w:t>
            </w:r>
            <w:r>
              <w:rPr>
                <w:rStyle w:val="31"/>
                <w:b w:val="0"/>
                <w:bCs w:val="0"/>
                <w:sz w:val="21"/>
                <w:szCs w:val="21"/>
                <w:lang w:bidi="ar"/>
              </w:rPr>
              <w:t>12</w:t>
            </w:r>
            <w:r>
              <w:rPr>
                <w:rStyle w:val="32"/>
                <w:rFonts w:hint="default" w:ascii="Times New Roman" w:hAnsi="Times New Roman" w:cs="Times New Roman"/>
                <w:b w:val="0"/>
                <w:bCs w:val="0"/>
                <w:sz w:val="21"/>
                <w:szCs w:val="21"/>
                <w:lang w:bidi="ar"/>
              </w:rPr>
              <w:t>月</w:t>
            </w:r>
            <w:r>
              <w:rPr>
                <w:rStyle w:val="31"/>
                <w:b w:val="0"/>
                <w:bCs w:val="0"/>
                <w:sz w:val="21"/>
                <w:szCs w:val="21"/>
                <w:lang w:bidi="ar"/>
              </w:rPr>
              <w:t>31</w:t>
            </w:r>
            <w:r>
              <w:rPr>
                <w:rStyle w:val="32"/>
                <w:rFonts w:hint="default" w:ascii="Times New Roman" w:hAnsi="Times New Roman" w:cs="Times New Roman"/>
                <w:b w:val="0"/>
                <w:bCs w:val="0"/>
                <w:sz w:val="21"/>
                <w:szCs w:val="21"/>
                <w:lang w:bidi="ar"/>
              </w:rPr>
              <w:t>日募集资金账户余额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89,881,757.67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减：募集资金项目支出</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9,071,282.23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完工项目永久补充流动资金</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 xml:space="preserve"> 176,695,482.18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使用闲置募集资金购买保本型理财产品</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340,000,000.00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加：使用闲置募集资金购买保本型理财产品的期初金额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457,000,000.00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6426" w:type="dxa"/>
            <w:tcBorders>
              <w:tl2br w:val="nil"/>
              <w:tr2bl w:val="nil"/>
            </w:tcBorders>
            <w:shd w:val="clear" w:color="auto" w:fill="auto"/>
            <w:vAlign w:val="center"/>
          </w:tcPr>
          <w:p>
            <w:pPr>
              <w:widowControl/>
              <w:textAlignment w:val="center"/>
              <w:rPr>
                <w:color w:val="000000"/>
                <w:szCs w:val="21"/>
              </w:rPr>
            </w:pPr>
            <w:r>
              <w:rPr>
                <w:color w:val="000000"/>
                <w:kern w:val="0"/>
                <w:szCs w:val="21"/>
                <w:lang w:bidi="ar"/>
              </w:rPr>
              <w:t>累计募集资金利息扣除银行手续费等</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13,235,634.04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0" w:hRule="atLeast"/>
        </w:trPr>
        <w:tc>
          <w:tcPr>
            <w:tcW w:w="6426" w:type="dxa"/>
            <w:tcBorders>
              <w:tl2br w:val="nil"/>
              <w:tr2bl w:val="nil"/>
            </w:tcBorders>
            <w:shd w:val="clear" w:color="auto" w:fill="D7D7D7"/>
            <w:vAlign w:val="center"/>
          </w:tcPr>
          <w:p>
            <w:pPr>
              <w:widowControl/>
              <w:textAlignment w:val="center"/>
              <w:rPr>
                <w:color w:val="000000"/>
                <w:szCs w:val="21"/>
              </w:rPr>
            </w:pPr>
            <w:r>
              <w:rPr>
                <w:rStyle w:val="31"/>
                <w:b w:val="0"/>
                <w:bCs w:val="0"/>
                <w:sz w:val="21"/>
                <w:szCs w:val="21"/>
                <w:lang w:bidi="ar"/>
              </w:rPr>
              <w:t>2022</w:t>
            </w:r>
            <w:r>
              <w:rPr>
                <w:rStyle w:val="32"/>
                <w:rFonts w:hint="default" w:ascii="Times New Roman" w:hAnsi="Times New Roman" w:cs="Times New Roman"/>
                <w:b w:val="0"/>
                <w:bCs w:val="0"/>
                <w:sz w:val="21"/>
                <w:szCs w:val="21"/>
                <w:lang w:bidi="ar"/>
              </w:rPr>
              <w:t>年</w:t>
            </w:r>
            <w:r>
              <w:rPr>
                <w:rStyle w:val="31"/>
                <w:b w:val="0"/>
                <w:bCs w:val="0"/>
                <w:sz w:val="21"/>
                <w:szCs w:val="21"/>
                <w:lang w:bidi="ar"/>
              </w:rPr>
              <w:t>12</w:t>
            </w:r>
            <w:r>
              <w:rPr>
                <w:rStyle w:val="32"/>
                <w:rFonts w:hint="default" w:ascii="Times New Roman" w:hAnsi="Times New Roman" w:cs="Times New Roman"/>
                <w:b w:val="0"/>
                <w:bCs w:val="0"/>
                <w:sz w:val="21"/>
                <w:szCs w:val="21"/>
                <w:lang w:bidi="ar"/>
              </w:rPr>
              <w:t>月</w:t>
            </w:r>
            <w:r>
              <w:rPr>
                <w:rStyle w:val="31"/>
                <w:b w:val="0"/>
                <w:bCs w:val="0"/>
                <w:sz w:val="21"/>
                <w:szCs w:val="21"/>
                <w:lang w:bidi="ar"/>
              </w:rPr>
              <w:t>31</w:t>
            </w:r>
            <w:r>
              <w:rPr>
                <w:rStyle w:val="32"/>
                <w:rFonts w:hint="default" w:ascii="Times New Roman" w:hAnsi="Times New Roman" w:cs="Times New Roman"/>
                <w:b w:val="0"/>
                <w:bCs w:val="0"/>
                <w:sz w:val="21"/>
                <w:szCs w:val="21"/>
                <w:lang w:bidi="ar"/>
              </w:rPr>
              <w:t>日募集资金账户余额</w:t>
            </w:r>
          </w:p>
        </w:tc>
        <w:tc>
          <w:tcPr>
            <w:tcW w:w="1909" w:type="dxa"/>
            <w:tcBorders>
              <w:tl2br w:val="nil"/>
              <w:tr2bl w:val="nil"/>
            </w:tcBorders>
            <w:shd w:val="clear" w:color="auto" w:fill="auto"/>
            <w:vAlign w:val="center"/>
          </w:tcPr>
          <w:p>
            <w:pPr>
              <w:widowControl/>
              <w:jc w:val="right"/>
              <w:textAlignment w:val="center"/>
              <w:rPr>
                <w:color w:val="000000"/>
                <w:szCs w:val="21"/>
              </w:rPr>
            </w:pPr>
            <w:r>
              <w:rPr>
                <w:color w:val="000000"/>
                <w:kern w:val="0"/>
                <w:szCs w:val="21"/>
                <w:lang w:bidi="ar"/>
              </w:rPr>
              <w:t>34,350,627.30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6426" w:type="dxa"/>
            <w:tcBorders>
              <w:tl2br w:val="nil"/>
              <w:tr2bl w:val="nil"/>
            </w:tcBorders>
            <w:shd w:val="clear" w:color="auto" w:fill="auto"/>
          </w:tcPr>
          <w:p>
            <w:pPr>
              <w:widowControl/>
              <w:jc w:val="left"/>
              <w:textAlignment w:val="center"/>
              <w:rPr>
                <w:kern w:val="0"/>
              </w:rPr>
            </w:pPr>
            <w:r>
              <w:rPr>
                <w:rFonts w:hint="eastAsia"/>
              </w:rPr>
              <w:t>减：募集资金项目支出</w:t>
            </w:r>
          </w:p>
        </w:tc>
        <w:tc>
          <w:tcPr>
            <w:tcW w:w="1909" w:type="dxa"/>
            <w:tcBorders>
              <w:tl2br w:val="nil"/>
              <w:tr2bl w:val="nil"/>
            </w:tcBorders>
            <w:shd w:val="clear" w:color="auto" w:fill="auto"/>
          </w:tcPr>
          <w:p>
            <w:pPr>
              <w:widowControl/>
              <w:jc w:val="right"/>
              <w:textAlignment w:val="center"/>
              <w:rPr>
                <w:color w:val="000000"/>
                <w:kern w:val="0"/>
                <w:szCs w:val="21"/>
                <w:lang w:bidi="ar"/>
              </w:rPr>
            </w:pPr>
            <w:r>
              <w:rPr>
                <w:rFonts w:hint="eastAsia"/>
              </w:rPr>
              <w:t>42,467,422.49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6426" w:type="dxa"/>
            <w:tcBorders>
              <w:tl2br w:val="nil"/>
              <w:tr2bl w:val="nil"/>
            </w:tcBorders>
            <w:shd w:val="clear" w:color="auto" w:fill="auto"/>
          </w:tcPr>
          <w:p>
            <w:pPr>
              <w:widowControl/>
              <w:jc w:val="left"/>
              <w:textAlignment w:val="center"/>
              <w:rPr>
                <w:kern w:val="0"/>
              </w:rPr>
            </w:pPr>
            <w:r>
              <w:rPr>
                <w:rFonts w:hint="eastAsia"/>
              </w:rPr>
              <w:t>使用闲置募集资金购买保本型理财产品</w:t>
            </w:r>
          </w:p>
        </w:tc>
        <w:tc>
          <w:tcPr>
            <w:tcW w:w="1909" w:type="dxa"/>
            <w:tcBorders>
              <w:tl2br w:val="nil"/>
              <w:tr2bl w:val="nil"/>
            </w:tcBorders>
            <w:shd w:val="clear" w:color="auto" w:fill="auto"/>
          </w:tcPr>
          <w:p>
            <w:pPr>
              <w:widowControl/>
              <w:jc w:val="right"/>
              <w:textAlignment w:val="center"/>
              <w:rPr>
                <w:color w:val="000000"/>
                <w:kern w:val="0"/>
                <w:szCs w:val="21"/>
                <w:lang w:bidi="ar"/>
              </w:rPr>
            </w:pPr>
            <w:r>
              <w:rPr>
                <w:rFonts w:hint="eastAsia"/>
              </w:rPr>
              <w:t>289,000,000.00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6426" w:type="dxa"/>
            <w:tcBorders>
              <w:tl2br w:val="nil"/>
              <w:tr2bl w:val="nil"/>
            </w:tcBorders>
            <w:shd w:val="clear" w:color="auto" w:fill="auto"/>
          </w:tcPr>
          <w:p>
            <w:pPr>
              <w:widowControl/>
              <w:jc w:val="left"/>
              <w:textAlignment w:val="center"/>
              <w:rPr>
                <w:kern w:val="0"/>
              </w:rPr>
            </w:pPr>
            <w:r>
              <w:rPr>
                <w:rFonts w:hint="eastAsia"/>
              </w:rPr>
              <w:t>加：使用闲置募集资金购买保本型理财产品的期初金额</w:t>
            </w:r>
          </w:p>
        </w:tc>
        <w:tc>
          <w:tcPr>
            <w:tcW w:w="1909" w:type="dxa"/>
            <w:tcBorders>
              <w:tl2br w:val="nil"/>
              <w:tr2bl w:val="nil"/>
            </w:tcBorders>
            <w:shd w:val="clear" w:color="auto" w:fill="auto"/>
          </w:tcPr>
          <w:p>
            <w:pPr>
              <w:widowControl/>
              <w:jc w:val="right"/>
              <w:textAlignment w:val="center"/>
              <w:rPr>
                <w:color w:val="000000"/>
                <w:kern w:val="0"/>
                <w:szCs w:val="21"/>
                <w:lang w:bidi="ar"/>
              </w:rPr>
            </w:pPr>
            <w:r>
              <w:rPr>
                <w:rFonts w:hint="eastAsia"/>
              </w:rPr>
              <w:t>340,000,000.00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00" w:hRule="atLeast"/>
        </w:trPr>
        <w:tc>
          <w:tcPr>
            <w:tcW w:w="6426" w:type="dxa"/>
            <w:tcBorders>
              <w:tl2br w:val="nil"/>
              <w:tr2bl w:val="nil"/>
            </w:tcBorders>
            <w:shd w:val="clear" w:color="auto" w:fill="auto"/>
          </w:tcPr>
          <w:p>
            <w:pPr>
              <w:widowControl/>
              <w:jc w:val="left"/>
              <w:textAlignment w:val="center"/>
              <w:rPr>
                <w:kern w:val="0"/>
              </w:rPr>
            </w:pPr>
            <w:r>
              <w:rPr>
                <w:rFonts w:hint="eastAsia"/>
              </w:rPr>
              <w:t>累计募集资金利息扣除银行手续费等</w:t>
            </w:r>
          </w:p>
        </w:tc>
        <w:tc>
          <w:tcPr>
            <w:tcW w:w="1909" w:type="dxa"/>
            <w:tcBorders>
              <w:tl2br w:val="nil"/>
              <w:tr2bl w:val="nil"/>
            </w:tcBorders>
            <w:shd w:val="clear" w:color="auto" w:fill="auto"/>
          </w:tcPr>
          <w:p>
            <w:pPr>
              <w:widowControl/>
              <w:jc w:val="right"/>
              <w:textAlignment w:val="center"/>
              <w:rPr>
                <w:color w:val="000000"/>
                <w:kern w:val="0"/>
                <w:szCs w:val="21"/>
                <w:lang w:bidi="ar"/>
              </w:rPr>
            </w:pPr>
            <w:r>
              <w:rPr>
                <w:rFonts w:hint="eastAsia"/>
              </w:rPr>
              <w:t>5,103,255.67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6426" w:type="dxa"/>
            <w:tcBorders>
              <w:tl2br w:val="nil"/>
              <w:tr2bl w:val="nil"/>
            </w:tcBorders>
            <w:shd w:val="clear" w:color="auto" w:fill="D7D7D7" w:themeFill="background1" w:themeFillShade="D8"/>
          </w:tcPr>
          <w:p>
            <w:pPr>
              <w:widowControl/>
              <w:jc w:val="left"/>
              <w:textAlignment w:val="center"/>
              <w:rPr>
                <w:kern w:val="0"/>
              </w:rPr>
            </w:pPr>
            <w:r>
              <w:rPr>
                <w:rFonts w:hint="eastAsia"/>
              </w:rPr>
              <w:t>2023年6月30日募集资金账户余额</w:t>
            </w:r>
          </w:p>
        </w:tc>
        <w:tc>
          <w:tcPr>
            <w:tcW w:w="1909" w:type="dxa"/>
            <w:tcBorders>
              <w:tl2br w:val="nil"/>
              <w:tr2bl w:val="nil"/>
            </w:tcBorders>
            <w:shd w:val="clear" w:color="auto" w:fill="auto"/>
          </w:tcPr>
          <w:p>
            <w:pPr>
              <w:widowControl/>
              <w:jc w:val="right"/>
              <w:textAlignment w:val="center"/>
              <w:rPr>
                <w:color w:val="000000"/>
                <w:kern w:val="0"/>
                <w:szCs w:val="21"/>
                <w:lang w:bidi="ar"/>
              </w:rPr>
            </w:pPr>
            <w:r>
              <w:rPr>
                <w:rFonts w:hint="eastAsia"/>
              </w:rPr>
              <w:t>47,986,460.48</w:t>
            </w:r>
          </w:p>
        </w:tc>
      </w:tr>
    </w:tbl>
    <w:p>
      <w:pPr>
        <w:pStyle w:val="29"/>
        <w:numPr>
          <w:ilvl w:val="0"/>
          <w:numId w:val="1"/>
        </w:numPr>
        <w:adjustRightInd w:val="0"/>
        <w:snapToGrid w:val="0"/>
        <w:spacing w:line="440" w:lineRule="atLeast"/>
        <w:ind w:firstLine="482"/>
        <w:outlineLvl w:val="0"/>
        <w:rPr>
          <w:b/>
          <w:sz w:val="24"/>
        </w:rPr>
      </w:pPr>
      <w:r>
        <w:rPr>
          <w:b/>
          <w:sz w:val="24"/>
        </w:rPr>
        <w:t>募集资金存放和管理情况</w:t>
      </w:r>
    </w:p>
    <w:p>
      <w:pPr>
        <w:tabs>
          <w:tab w:val="left" w:pos="426"/>
        </w:tabs>
        <w:adjustRightInd w:val="0"/>
        <w:snapToGrid w:val="0"/>
        <w:spacing w:line="440" w:lineRule="atLeast"/>
        <w:ind w:firstLine="482" w:firstLineChars="200"/>
        <w:outlineLvl w:val="1"/>
        <w:rPr>
          <w:b/>
          <w:sz w:val="24"/>
        </w:rPr>
      </w:pPr>
      <w:r>
        <w:rPr>
          <w:b/>
          <w:sz w:val="24"/>
        </w:rPr>
        <w:t>（一）募集资金管理制度的制定和执行情况</w:t>
      </w:r>
    </w:p>
    <w:p>
      <w:pPr>
        <w:adjustRightInd w:val="0"/>
        <w:snapToGrid w:val="0"/>
        <w:spacing w:line="440" w:lineRule="atLeast"/>
        <w:ind w:firstLine="480" w:firstLineChars="200"/>
        <w:rPr>
          <w:sz w:val="24"/>
        </w:rPr>
      </w:pPr>
      <w:r>
        <w:rPr>
          <w:sz w:val="24"/>
        </w:rPr>
        <w:t>为规范、加强公司募集资金的管理，提高资金使用效率，促进公司健康发展，维护全体股东的合法利益，依据有关法律、法规及规范性文件和《公司章程》，</w:t>
      </w:r>
      <w:r>
        <w:rPr>
          <w:rFonts w:hint="eastAsia"/>
          <w:sz w:val="24"/>
        </w:rPr>
        <w:t>并</w:t>
      </w:r>
      <w:r>
        <w:rPr>
          <w:sz w:val="24"/>
        </w:rPr>
        <w:t>结合公司的实际情况，公司制定了《募集资金使用管理制度》，并经公司2016年第二次临时股东大会审议通过。</w:t>
      </w:r>
      <w:r>
        <w:rPr>
          <w:rFonts w:hint="eastAsia"/>
          <w:sz w:val="24"/>
        </w:rPr>
        <w:t>2020年9月，公司根据实际情况对《募集资金使用管理制度》进行了修订。</w:t>
      </w:r>
    </w:p>
    <w:p>
      <w:pPr>
        <w:adjustRightInd w:val="0"/>
        <w:snapToGrid w:val="0"/>
        <w:spacing w:line="440" w:lineRule="atLeast"/>
        <w:ind w:firstLine="480" w:firstLineChars="200"/>
        <w:rPr>
          <w:sz w:val="24"/>
        </w:rPr>
      </w:pPr>
      <w:r>
        <w:rPr>
          <w:sz w:val="24"/>
        </w:rPr>
        <w:t>公司募集资金投资项目由公司总经理负责组织实施，投资项目按公司报告书承诺的计划进度实施，公司财务部负责资金的调度和安排，公司财务部对募集资金的使用情况设立台账，详细反映募集资金的支出情况和投入情况。公司内部审计部门至少每季度对募集资金的存放与使用情况检查一次，并及时向审计委员会报告检查结果。</w:t>
      </w:r>
    </w:p>
    <w:p>
      <w:pPr>
        <w:adjustRightInd w:val="0"/>
        <w:snapToGrid w:val="0"/>
        <w:spacing w:line="440" w:lineRule="atLeast"/>
        <w:ind w:firstLine="480" w:firstLineChars="200"/>
        <w:rPr>
          <w:sz w:val="24"/>
        </w:rPr>
      </w:pPr>
      <w:r>
        <w:rPr>
          <w:sz w:val="24"/>
        </w:rPr>
        <w:t>公司2023年度募集资金使用均按照《募集资金使用管理制度》的相关规定执行。</w:t>
      </w:r>
    </w:p>
    <w:p>
      <w:pPr>
        <w:adjustRightInd w:val="0"/>
        <w:snapToGrid w:val="0"/>
        <w:spacing w:line="440" w:lineRule="atLeast"/>
        <w:ind w:firstLine="482" w:firstLineChars="200"/>
        <w:outlineLvl w:val="1"/>
        <w:rPr>
          <w:b/>
          <w:sz w:val="24"/>
        </w:rPr>
      </w:pPr>
      <w:r>
        <w:rPr>
          <w:b/>
          <w:sz w:val="24"/>
        </w:rPr>
        <w:t>（二）募集资金的专户存储与监管情况</w:t>
      </w:r>
    </w:p>
    <w:p>
      <w:pPr>
        <w:adjustRightInd w:val="0"/>
        <w:snapToGrid w:val="0"/>
        <w:spacing w:line="440" w:lineRule="atLeast"/>
        <w:ind w:firstLine="480" w:firstLineChars="200"/>
        <w:rPr>
          <w:sz w:val="24"/>
        </w:rPr>
      </w:pPr>
      <w:r>
        <w:rPr>
          <w:sz w:val="24"/>
        </w:rPr>
        <w:t>1、募集资金专户存储三方监管情况</w:t>
      </w:r>
    </w:p>
    <w:p>
      <w:pPr>
        <w:adjustRightInd w:val="0"/>
        <w:snapToGrid w:val="0"/>
        <w:spacing w:line="440" w:lineRule="atLeast"/>
        <w:ind w:firstLine="480" w:firstLineChars="200"/>
        <w:rPr>
          <w:sz w:val="24"/>
        </w:rPr>
      </w:pPr>
      <w:r>
        <w:rPr>
          <w:rFonts w:hint="eastAsia"/>
          <w:sz w:val="24"/>
        </w:rPr>
        <w:t>（1）</w:t>
      </w:r>
      <w:r>
        <w:rPr>
          <w:sz w:val="24"/>
        </w:rPr>
        <w:t>为规范公司募集资金的使用与管理，提高募集资金使用效益，保护投资者的合法权益，根据《上市公司证券发行管理办法》、《</w:t>
      </w:r>
      <w:r>
        <w:rPr>
          <w:rFonts w:hint="eastAsia"/>
          <w:sz w:val="24"/>
        </w:rPr>
        <w:t>上市公司自律监管指引第1号——主板上市公司规范运作</w:t>
      </w:r>
      <w:r>
        <w:rPr>
          <w:sz w:val="24"/>
        </w:rPr>
        <w:t>》、</w:t>
      </w:r>
      <w:r>
        <w:rPr>
          <w:rFonts w:hint="eastAsia"/>
          <w:sz w:val="24"/>
        </w:rPr>
        <w:t>公司</w:t>
      </w:r>
      <w:r>
        <w:rPr>
          <w:sz w:val="24"/>
        </w:rPr>
        <w:t>《募集资金使用管理制度》等规定，2017年1月11日，公司与独立财务顾问中德证券有限责任公司（以下简称“中德证券”）、国家开发银行股份有限公司深圳市分行、中国工商银行股份有限公司深圳市分行、招商银行股份有限公司深圳上步支行、上海浦东发展银行股份有限公司深圳分行分别签署了《募集资金三方监管协议》对募集资金的使用进行共同监管（具体情况参见《关于募集资金三方监管协议的公告》，公告编号2017-027）。</w:t>
      </w:r>
    </w:p>
    <w:p>
      <w:pPr>
        <w:adjustRightInd w:val="0"/>
        <w:snapToGrid w:val="0"/>
        <w:spacing w:line="440" w:lineRule="atLeast"/>
        <w:ind w:firstLine="480" w:firstLineChars="200"/>
        <w:rPr>
          <w:sz w:val="24"/>
        </w:rPr>
      </w:pPr>
      <w:r>
        <w:rPr>
          <w:rFonts w:hint="eastAsia"/>
          <w:sz w:val="24"/>
        </w:rPr>
        <w:t>（2）</w:t>
      </w:r>
      <w:r>
        <w:rPr>
          <w:sz w:val="24"/>
        </w:rPr>
        <w:t>由于本次募投项目的实施主体均为公司下属全资子公司，公司通过向募投项目实施公司增资的方式拨付募集资金，为规范公司募集资金的使用与管理，保护投资者的合法权益，公司及相关下属公司分别与中德证券以及相应存管银行签订了《募集资金三方监管协议》，具体而言：2017年8月17日，公司、中广核高新核材集团有限公司（以下简称“高新核材”）、中广核俊尔新材料有限公司、招商银行股份有限公司温州解放支行、中德证券签订了《募集资金三方监管协议》（具体情况参见《中广核核技术发展股份有限公司关于签订募集资金三方监管协议的公告》，公告编号2017-097）；2017年8月24日，公司、高新核材、中德证券分别与中国银行股份有限公司太仓分行，中广核高新核材集团（太仓）三角洲新材料有限公司及中国农业银行股份有限公司太仓分行，中广核三角洲（中山）高聚物有限公司及中国农业银行股份有限公司太仓分行，中广核拓普（湖北）新材料有限公司及中国银行股份有限公司太仓分行签订了《募集资金三方监管协议》（具体情况参见《中广核核技术发展股份有限公司关于签订募集资金三方监管协议的公告》，公告编号2017-098）。</w:t>
      </w:r>
    </w:p>
    <w:p>
      <w:pPr>
        <w:adjustRightInd w:val="0"/>
        <w:snapToGrid w:val="0"/>
        <w:spacing w:line="440" w:lineRule="atLeast"/>
        <w:ind w:firstLine="480" w:firstLineChars="200"/>
        <w:rPr>
          <w:sz w:val="24"/>
        </w:rPr>
      </w:pPr>
      <w:r>
        <w:rPr>
          <w:rFonts w:hint="eastAsia"/>
          <w:sz w:val="24"/>
        </w:rPr>
        <w:t>（3）</w:t>
      </w:r>
      <w:r>
        <w:rPr>
          <w:sz w:val="24"/>
        </w:rPr>
        <w:t>由于行政区划调整</w:t>
      </w:r>
      <w:r>
        <w:rPr>
          <w:rFonts w:hint="eastAsia"/>
          <w:sz w:val="24"/>
        </w:rPr>
        <w:t>，公司</w:t>
      </w:r>
      <w:r>
        <w:rPr>
          <w:sz w:val="24"/>
        </w:rPr>
        <w:t>将金海产业园四个募集资金投资项目“技术研究开发中心扩建项目”、“年产2.4万吨长玻纤增强聚丙烯车用结构材料（LFT）生产建设项目”、“年产6.6万吨高性能改性尼龙（PA）生产建设项目”、“年产3万吨高性能改性聚碳酸脂（PC）生产建设项目”的实施主体由“中广核俊尔新材料有限公司”变更为其全资子公司“中广核俊尔（浙江）新材料有限公司”，2020年8月公司及控股子公司中广核高新核材集团有限公司、中广核俊尔新材料有限公司、中广核俊尔（浙江）新材料有限公司，与中国银行温州龙湾支行、独立财务顾问中德证券有限责任公司签署了《募集资金三方监管协议》。具体情况参见《关于签订募集资金三方监管协议的公告》，公告编号2020-076）。</w:t>
      </w:r>
    </w:p>
    <w:p>
      <w:pPr>
        <w:adjustRightInd w:val="0"/>
        <w:snapToGrid w:val="0"/>
        <w:spacing w:line="440" w:lineRule="atLeast"/>
        <w:ind w:firstLine="480" w:firstLineChars="200"/>
        <w:rPr>
          <w:sz w:val="24"/>
        </w:rPr>
      </w:pPr>
      <w:r>
        <w:rPr>
          <w:rFonts w:hint="eastAsia"/>
          <w:sz w:val="24"/>
        </w:rPr>
        <w:t>（4）</w:t>
      </w:r>
      <w:r>
        <w:rPr>
          <w:sz w:val="24"/>
        </w:rPr>
        <w:t>由于公司执行吸收合并方案，即以全资子公司中广核三角洲（江苏）塑化有限公司（以下简称“江苏三角洲”）为主体，吸收合并全资子公司太仓新材料、中广核三角洲（苏州）高聚物有限公司（以下简称“苏州三角洲”）及中广核三角洲集团（苏州）特威塑胶有限公司（以下简称“苏州特威”），并将江苏三角洲经营地址变更至太仓产业园项目所在地，以实现三家企业入园、集中生产。吸收合并完成后，江苏三角洲继续存续，太仓新材料法人主体资格将依法予以注销，太仓新材料的全部资产、债权、债务、人员和业务由江苏三角洲依法继承，相应的募投项目“13.485万吨高聚物材料新建项目”实施主体由太仓新材料变更为江苏三角洲分公司。2020年8月，公司及控股子公司中广核高新核材集团有限公司、中广核三角洲（江苏）塑化有限公司、中广核三角洲（江苏）塑化有限公司新材料分公司，与中国农业银行太仓分行、独立财务顾问中德证券签署了《募集资金三方监管协议》。具体情况参见《关于签订募集资金三方监管协议的公告》，公告编号2020-076）。</w:t>
      </w:r>
      <w:r>
        <w:rPr>
          <w:rFonts w:hint="eastAsia"/>
          <w:sz w:val="24"/>
        </w:rPr>
        <w:t>太仓新材料已于2020年11月16日注销了其在中国农业银行太仓沙溪支行开立的账户，账号：10534701040017962。</w:t>
      </w:r>
    </w:p>
    <w:p>
      <w:pPr>
        <w:adjustRightInd w:val="0"/>
        <w:snapToGrid w:val="0"/>
        <w:spacing w:line="440" w:lineRule="atLeast"/>
        <w:ind w:firstLine="480" w:firstLineChars="200"/>
        <w:rPr>
          <w:color w:val="000000"/>
          <w:sz w:val="24"/>
        </w:rPr>
      </w:pPr>
      <w:r>
        <w:rPr>
          <w:rFonts w:hint="eastAsia"/>
          <w:color w:val="000000"/>
          <w:sz w:val="24"/>
        </w:rPr>
        <w:t>（5）2022年5月20日，经公司2021年度股东大会决议通过，同意公司将已完成的“技术研究开发中心扩建项目”、“年产2.42万吨长玻纤增强聚丙烯车用结构材料（LFT）生产建设项目”、“年产3.2886万吨高性能改性尼龙（PA）生产建设项目”、“年产1.6133万吨高性能改性聚碳酸脂（PC）生产建设项目”、“5.864万吨高聚物材料新建项目”、“5.239万吨高聚物材料新建项目”项目结项，并将项目结项后募集专户余额17,649.26万元（具体金额以实际结转时专户资金余额为准）永久补充流动资金。同意在节余募集资金补充流动资金后，将相应的8个募集资金专户办理注销，该账户《募集资金三方监管协议》一并终止。截至2</w:t>
      </w:r>
      <w:r>
        <w:rPr>
          <w:color w:val="000000"/>
          <w:sz w:val="24"/>
        </w:rPr>
        <w:t>022</w:t>
      </w:r>
      <w:r>
        <w:rPr>
          <w:rFonts w:hint="eastAsia"/>
          <w:color w:val="000000"/>
          <w:sz w:val="24"/>
        </w:rPr>
        <w:t>年</w:t>
      </w:r>
      <w:r>
        <w:rPr>
          <w:color w:val="000000"/>
          <w:sz w:val="24"/>
        </w:rPr>
        <w:t>12</w:t>
      </w:r>
      <w:r>
        <w:rPr>
          <w:rFonts w:hint="eastAsia"/>
          <w:color w:val="000000"/>
          <w:sz w:val="24"/>
        </w:rPr>
        <w:t>月</w:t>
      </w:r>
      <w:r>
        <w:rPr>
          <w:color w:val="000000"/>
          <w:sz w:val="24"/>
        </w:rPr>
        <w:t>31</w:t>
      </w:r>
      <w:r>
        <w:rPr>
          <w:rFonts w:hint="eastAsia"/>
          <w:color w:val="000000"/>
          <w:sz w:val="24"/>
        </w:rPr>
        <w:t>日，已完成此8个募集资金专户的注销。中广核三角洲（江苏）塑化有限公司新材料分公司2</w:t>
      </w:r>
      <w:r>
        <w:rPr>
          <w:color w:val="000000"/>
          <w:sz w:val="24"/>
        </w:rPr>
        <w:t>022</w:t>
      </w:r>
      <w:r>
        <w:rPr>
          <w:rFonts w:hint="eastAsia"/>
          <w:color w:val="000000"/>
          <w:sz w:val="24"/>
        </w:rPr>
        <w:t>年6月1</w:t>
      </w:r>
      <w:r>
        <w:rPr>
          <w:color w:val="000000"/>
          <w:sz w:val="24"/>
        </w:rPr>
        <w:t>6</w:t>
      </w:r>
      <w:r>
        <w:rPr>
          <w:rFonts w:hint="eastAsia"/>
          <w:color w:val="000000"/>
          <w:sz w:val="24"/>
        </w:rPr>
        <w:t>日注销了在中国农业银行太仓沙溪支行开立的账户，账号</w:t>
      </w:r>
      <w:r>
        <w:rPr>
          <w:color w:val="000000"/>
          <w:sz w:val="24"/>
        </w:rPr>
        <w:t>10534701040023424</w:t>
      </w:r>
      <w:r>
        <w:rPr>
          <w:rFonts w:hint="eastAsia"/>
          <w:color w:val="000000"/>
          <w:sz w:val="24"/>
        </w:rPr>
        <w:t>。中广核俊尔新材料有限公司2</w:t>
      </w:r>
      <w:r>
        <w:rPr>
          <w:color w:val="000000"/>
          <w:sz w:val="24"/>
        </w:rPr>
        <w:t>022</w:t>
      </w:r>
      <w:r>
        <w:rPr>
          <w:rFonts w:hint="eastAsia"/>
          <w:color w:val="000000"/>
          <w:sz w:val="24"/>
        </w:rPr>
        <w:t>年6月1</w:t>
      </w:r>
      <w:r>
        <w:rPr>
          <w:color w:val="000000"/>
          <w:sz w:val="24"/>
        </w:rPr>
        <w:t>6</w:t>
      </w:r>
      <w:r>
        <w:rPr>
          <w:rFonts w:hint="eastAsia"/>
          <w:color w:val="000000"/>
          <w:sz w:val="24"/>
        </w:rPr>
        <w:t>日注销了在招商银行温州解放支行开立的账户，账号</w:t>
      </w:r>
      <w:r>
        <w:rPr>
          <w:color w:val="000000"/>
          <w:sz w:val="24"/>
        </w:rPr>
        <w:t>577900019710405</w:t>
      </w:r>
      <w:r>
        <w:rPr>
          <w:rFonts w:hint="eastAsia"/>
          <w:color w:val="000000"/>
          <w:sz w:val="24"/>
        </w:rPr>
        <w:t>。上市公司2</w:t>
      </w:r>
      <w:r>
        <w:rPr>
          <w:color w:val="000000"/>
          <w:sz w:val="24"/>
        </w:rPr>
        <w:t>022</w:t>
      </w:r>
      <w:r>
        <w:rPr>
          <w:rFonts w:hint="eastAsia"/>
          <w:color w:val="000000"/>
          <w:sz w:val="24"/>
        </w:rPr>
        <w:t>年6月2</w:t>
      </w:r>
      <w:r>
        <w:rPr>
          <w:color w:val="000000"/>
          <w:sz w:val="24"/>
        </w:rPr>
        <w:t>1</w:t>
      </w:r>
      <w:r>
        <w:rPr>
          <w:rFonts w:hint="eastAsia"/>
          <w:color w:val="000000"/>
          <w:sz w:val="24"/>
        </w:rPr>
        <w:t>日注销了在中国工商银行股份有限公司深圳市分行开立的账户，账号</w:t>
      </w:r>
      <w:r>
        <w:rPr>
          <w:color w:val="000000"/>
          <w:sz w:val="24"/>
        </w:rPr>
        <w:t>4000023029201674527</w:t>
      </w:r>
      <w:r>
        <w:rPr>
          <w:rFonts w:hint="eastAsia"/>
          <w:color w:val="000000"/>
          <w:sz w:val="24"/>
        </w:rPr>
        <w:t>，6月2</w:t>
      </w:r>
      <w:r>
        <w:rPr>
          <w:color w:val="000000"/>
          <w:sz w:val="24"/>
        </w:rPr>
        <w:t>9</w:t>
      </w:r>
      <w:r>
        <w:rPr>
          <w:rFonts w:hint="eastAsia"/>
          <w:color w:val="000000"/>
          <w:sz w:val="24"/>
        </w:rPr>
        <w:t>日注销了在国家开发银行股份有限公司深圳市分行开立的账户，账号</w:t>
      </w:r>
      <w:r>
        <w:rPr>
          <w:color w:val="000000"/>
          <w:sz w:val="24"/>
        </w:rPr>
        <w:t>44301560043833050000</w:t>
      </w:r>
      <w:r>
        <w:rPr>
          <w:rFonts w:hint="eastAsia"/>
          <w:color w:val="000000"/>
          <w:sz w:val="24"/>
        </w:rPr>
        <w:t>，7月1</w:t>
      </w:r>
      <w:r>
        <w:rPr>
          <w:color w:val="000000"/>
          <w:sz w:val="24"/>
        </w:rPr>
        <w:t>5</w:t>
      </w:r>
      <w:r>
        <w:rPr>
          <w:rFonts w:hint="eastAsia"/>
          <w:color w:val="000000"/>
          <w:sz w:val="24"/>
        </w:rPr>
        <w:t>日注销了招商银行股份有限公司深圳上步支行开立的账户，账号</w:t>
      </w:r>
      <w:r>
        <w:rPr>
          <w:color w:val="000000"/>
          <w:sz w:val="24"/>
        </w:rPr>
        <w:t>411900021510202</w:t>
      </w:r>
      <w:r>
        <w:rPr>
          <w:rFonts w:hint="eastAsia"/>
          <w:color w:val="000000"/>
          <w:sz w:val="24"/>
        </w:rPr>
        <w:t>，1</w:t>
      </w:r>
      <w:r>
        <w:rPr>
          <w:color w:val="000000"/>
          <w:sz w:val="24"/>
        </w:rPr>
        <w:t>0</w:t>
      </w:r>
      <w:r>
        <w:rPr>
          <w:rFonts w:hint="eastAsia"/>
          <w:color w:val="000000"/>
          <w:sz w:val="24"/>
        </w:rPr>
        <w:t>月2</w:t>
      </w:r>
      <w:r>
        <w:rPr>
          <w:color w:val="000000"/>
          <w:sz w:val="24"/>
        </w:rPr>
        <w:t>8</w:t>
      </w:r>
      <w:r>
        <w:rPr>
          <w:rFonts w:hint="eastAsia"/>
          <w:color w:val="000000"/>
          <w:sz w:val="24"/>
        </w:rPr>
        <w:t>日注销了在平安银行深圳卓越成支行开立的账户，账号</w:t>
      </w:r>
      <w:r>
        <w:rPr>
          <w:color w:val="000000"/>
          <w:sz w:val="24"/>
        </w:rPr>
        <w:t>15022712988835</w:t>
      </w:r>
      <w:r>
        <w:rPr>
          <w:rFonts w:hint="eastAsia"/>
          <w:color w:val="000000"/>
          <w:sz w:val="24"/>
        </w:rPr>
        <w:t>。</w:t>
      </w:r>
      <w:r>
        <w:rPr>
          <w:sz w:val="24"/>
        </w:rPr>
        <w:t>中广核俊尔（浙江）新材料有限公司</w:t>
      </w:r>
      <w:r>
        <w:rPr>
          <w:rFonts w:hint="eastAsia"/>
          <w:color w:val="000000"/>
          <w:sz w:val="24"/>
        </w:rPr>
        <w:t>7月1</w:t>
      </w:r>
      <w:r>
        <w:rPr>
          <w:color w:val="000000"/>
          <w:sz w:val="24"/>
        </w:rPr>
        <w:t>9</w:t>
      </w:r>
      <w:r>
        <w:rPr>
          <w:rFonts w:hint="eastAsia"/>
          <w:color w:val="000000"/>
          <w:sz w:val="24"/>
        </w:rPr>
        <w:t>日注销了中国银行温州龙湾支行开立的账户，账号</w:t>
      </w:r>
      <w:r>
        <w:rPr>
          <w:color w:val="000000"/>
          <w:sz w:val="24"/>
        </w:rPr>
        <w:t>405246968515</w:t>
      </w:r>
      <w:r>
        <w:rPr>
          <w:rFonts w:hint="eastAsia"/>
          <w:color w:val="000000"/>
          <w:sz w:val="24"/>
        </w:rPr>
        <w:t>。</w:t>
      </w:r>
      <w:r>
        <w:rPr>
          <w:sz w:val="24"/>
        </w:rPr>
        <w:t>中广核拓普（湖北）新材料有限公司</w:t>
      </w:r>
      <w:r>
        <w:rPr>
          <w:rFonts w:hint="eastAsia"/>
          <w:color w:val="000000"/>
          <w:sz w:val="24"/>
        </w:rPr>
        <w:t>7月1</w:t>
      </w:r>
      <w:r>
        <w:rPr>
          <w:color w:val="000000"/>
          <w:sz w:val="24"/>
        </w:rPr>
        <w:t>4</w:t>
      </w:r>
      <w:r>
        <w:rPr>
          <w:rFonts w:hint="eastAsia"/>
          <w:color w:val="000000"/>
          <w:sz w:val="24"/>
        </w:rPr>
        <w:t>日注销了在中国银行太仓沙溪支行开立的账户，账号</w:t>
      </w:r>
      <w:r>
        <w:rPr>
          <w:color w:val="000000"/>
          <w:sz w:val="24"/>
        </w:rPr>
        <w:t>475470598271</w:t>
      </w:r>
      <w:r>
        <w:rPr>
          <w:rFonts w:hint="eastAsia"/>
          <w:color w:val="000000"/>
          <w:sz w:val="24"/>
        </w:rPr>
        <w:t>。</w:t>
      </w:r>
    </w:p>
    <w:p>
      <w:pPr>
        <w:adjustRightInd w:val="0"/>
        <w:snapToGrid w:val="0"/>
        <w:spacing w:line="440" w:lineRule="atLeast"/>
        <w:ind w:firstLine="480" w:firstLineChars="200"/>
        <w:rPr>
          <w:sz w:val="24"/>
        </w:rPr>
      </w:pPr>
      <w:r>
        <w:rPr>
          <w:sz w:val="24"/>
        </w:rPr>
        <w:t>前述《募集资金三方监管协议》的主要内容与深圳证券交易所《</w:t>
      </w:r>
      <w:r>
        <w:rPr>
          <w:rFonts w:hint="eastAsia"/>
          <w:sz w:val="24"/>
        </w:rPr>
        <w:t>上市公司自律监管指引第1号——主板上市公司规范运作</w:t>
      </w:r>
      <w:r>
        <w:rPr>
          <w:sz w:val="24"/>
        </w:rPr>
        <w:t>》中的《募集资金三方监管协议（范本）》不存在重大差异。本公司在使用募集资金时已经严格遵照《募集资金三方监管协议》协议执行。</w:t>
      </w:r>
    </w:p>
    <w:p>
      <w:pPr>
        <w:adjustRightInd w:val="0"/>
        <w:snapToGrid w:val="0"/>
        <w:spacing w:line="440" w:lineRule="atLeast"/>
        <w:ind w:firstLine="480" w:firstLineChars="200"/>
        <w:rPr>
          <w:sz w:val="24"/>
        </w:rPr>
      </w:pPr>
      <w:r>
        <w:rPr>
          <w:sz w:val="24"/>
        </w:rPr>
        <w:t>2、募集资金在各银行账户的存储情况</w:t>
      </w:r>
    </w:p>
    <w:p>
      <w:pPr>
        <w:adjustRightInd w:val="0"/>
        <w:snapToGrid w:val="0"/>
        <w:spacing w:line="440" w:lineRule="atLeast"/>
        <w:ind w:firstLine="480" w:firstLineChars="200"/>
        <w:rPr>
          <w:sz w:val="24"/>
        </w:rPr>
      </w:pPr>
      <w:r>
        <w:rPr>
          <w:sz w:val="24"/>
        </w:rPr>
        <w:t>截至2023年6月30日，募集资金具体存放情况如下：</w:t>
      </w:r>
    </w:p>
    <w:p>
      <w:pPr>
        <w:spacing w:line="440" w:lineRule="atLeast"/>
        <w:ind w:firstLine="5227" w:firstLineChars="2904"/>
        <w:jc w:val="right"/>
        <w:rPr>
          <w:sz w:val="18"/>
          <w:szCs w:val="18"/>
        </w:rPr>
      </w:pPr>
      <w:r>
        <w:rPr>
          <w:sz w:val="18"/>
          <w:szCs w:val="18"/>
        </w:rPr>
        <w:t>单位：人民币</w:t>
      </w:r>
      <w:r>
        <w:rPr>
          <w:rFonts w:hint="eastAsia"/>
          <w:sz w:val="18"/>
          <w:szCs w:val="18"/>
        </w:rPr>
        <w:t>元</w:t>
      </w:r>
    </w:p>
    <w:tbl>
      <w:tblPr>
        <w:tblStyle w:val="9"/>
        <w:tblW w:w="4882" w:type="pct"/>
        <w:tblInd w:w="81"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3"/>
        <w:gridCol w:w="3512"/>
        <w:gridCol w:w="2456"/>
        <w:gridCol w:w="16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blHeader/>
        </w:trPr>
        <w:tc>
          <w:tcPr>
            <w:tcW w:w="398" w:type="pct"/>
            <w:shd w:val="clear" w:color="auto" w:fill="D9D9D9"/>
            <w:vAlign w:val="center"/>
          </w:tcPr>
          <w:p>
            <w:pPr>
              <w:widowControl/>
              <w:spacing w:line="340" w:lineRule="atLeast"/>
              <w:jc w:val="center"/>
              <w:rPr>
                <w:b/>
                <w:bCs/>
                <w:kern w:val="0"/>
                <w:szCs w:val="21"/>
              </w:rPr>
            </w:pPr>
            <w:r>
              <w:rPr>
                <w:b/>
                <w:bCs/>
                <w:kern w:val="0"/>
                <w:szCs w:val="21"/>
              </w:rPr>
              <w:t>序号</w:t>
            </w:r>
          </w:p>
        </w:tc>
        <w:tc>
          <w:tcPr>
            <w:tcW w:w="2109" w:type="pct"/>
            <w:shd w:val="clear" w:color="auto" w:fill="D9D9D9"/>
            <w:noWrap/>
            <w:vAlign w:val="center"/>
          </w:tcPr>
          <w:p>
            <w:pPr>
              <w:widowControl/>
              <w:spacing w:line="340" w:lineRule="atLeast"/>
              <w:jc w:val="center"/>
              <w:rPr>
                <w:b/>
                <w:bCs/>
                <w:kern w:val="0"/>
                <w:szCs w:val="21"/>
              </w:rPr>
            </w:pPr>
            <w:r>
              <w:rPr>
                <w:b/>
                <w:bCs/>
                <w:kern w:val="0"/>
                <w:szCs w:val="21"/>
              </w:rPr>
              <w:t>开户银行</w:t>
            </w:r>
          </w:p>
        </w:tc>
        <w:tc>
          <w:tcPr>
            <w:tcW w:w="1474" w:type="pct"/>
            <w:shd w:val="clear" w:color="auto" w:fill="D9D9D9"/>
            <w:noWrap/>
            <w:vAlign w:val="center"/>
          </w:tcPr>
          <w:p>
            <w:pPr>
              <w:widowControl/>
              <w:spacing w:line="340" w:lineRule="atLeast"/>
              <w:jc w:val="center"/>
              <w:rPr>
                <w:b/>
                <w:bCs/>
                <w:kern w:val="0"/>
                <w:szCs w:val="21"/>
              </w:rPr>
            </w:pPr>
            <w:r>
              <w:rPr>
                <w:b/>
                <w:bCs/>
                <w:kern w:val="0"/>
                <w:szCs w:val="21"/>
              </w:rPr>
              <w:t>银行账号</w:t>
            </w:r>
          </w:p>
        </w:tc>
        <w:tc>
          <w:tcPr>
            <w:tcW w:w="1017" w:type="pct"/>
            <w:shd w:val="clear" w:color="auto" w:fill="D9D9D9"/>
            <w:noWrap/>
            <w:vAlign w:val="center"/>
          </w:tcPr>
          <w:p>
            <w:pPr>
              <w:widowControl/>
              <w:spacing w:line="340" w:lineRule="atLeast"/>
              <w:jc w:val="center"/>
              <w:rPr>
                <w:b/>
                <w:bCs/>
                <w:kern w:val="0"/>
                <w:szCs w:val="21"/>
              </w:rPr>
            </w:pPr>
            <w:r>
              <w:rPr>
                <w:b/>
                <w:bCs/>
                <w:kern w:val="0"/>
                <w:szCs w:val="21"/>
              </w:rPr>
              <w:t>账户余额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398" w:type="pct"/>
            <w:vAlign w:val="center"/>
          </w:tcPr>
          <w:p>
            <w:pPr>
              <w:widowControl/>
              <w:spacing w:line="340" w:lineRule="atLeast"/>
              <w:jc w:val="center"/>
              <w:rPr>
                <w:kern w:val="0"/>
                <w:szCs w:val="21"/>
              </w:rPr>
            </w:pPr>
            <w:r>
              <w:rPr>
                <w:rFonts w:hint="eastAsia"/>
                <w:kern w:val="0"/>
                <w:szCs w:val="21"/>
              </w:rPr>
              <w:t>1</w:t>
            </w:r>
          </w:p>
        </w:tc>
        <w:tc>
          <w:tcPr>
            <w:tcW w:w="2109" w:type="pct"/>
            <w:tcBorders>
              <w:top w:val="nil"/>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color w:val="000000"/>
                <w:szCs w:val="21"/>
              </w:rPr>
              <w:t>上海浦东发展银行深圳分行</w:t>
            </w:r>
          </w:p>
        </w:tc>
        <w:tc>
          <w:tcPr>
            <w:tcW w:w="1474" w:type="pct"/>
            <w:tcBorders>
              <w:top w:val="nil"/>
              <w:left w:val="nil"/>
              <w:bottom w:val="single" w:color="auto" w:sz="4" w:space="0"/>
              <w:right w:val="single" w:color="auto" w:sz="4" w:space="0"/>
            </w:tcBorders>
            <w:vAlign w:val="center"/>
          </w:tcPr>
          <w:p>
            <w:pPr>
              <w:jc w:val="left"/>
              <w:rPr>
                <w:rFonts w:eastAsia="等线"/>
                <w:color w:val="000000"/>
                <w:szCs w:val="21"/>
              </w:rPr>
            </w:pPr>
            <w:r>
              <w:rPr>
                <w:rFonts w:eastAsia="等线"/>
                <w:color w:val="000000"/>
                <w:szCs w:val="21"/>
              </w:rPr>
              <w:t>79170155200017002</w:t>
            </w:r>
          </w:p>
        </w:tc>
        <w:tc>
          <w:tcPr>
            <w:tcW w:w="1017" w:type="pct"/>
            <w:tcBorders>
              <w:top w:val="nil"/>
              <w:left w:val="nil"/>
              <w:bottom w:val="single" w:color="auto" w:sz="4" w:space="0"/>
              <w:right w:val="single" w:color="auto" w:sz="4" w:space="0"/>
            </w:tcBorders>
            <w:noWrap/>
            <w:vAlign w:val="center"/>
          </w:tcPr>
          <w:p>
            <w:pPr>
              <w:jc w:val="right"/>
              <w:rPr>
                <w:rFonts w:eastAsia="等线"/>
                <w:color w:val="000000"/>
                <w:szCs w:val="21"/>
              </w:rPr>
            </w:pPr>
            <w:r>
              <w:rPr>
                <w:rFonts w:eastAsia="等线"/>
                <w:color w:val="000000"/>
                <w:szCs w:val="21"/>
              </w:rPr>
              <w:t>2</w:t>
            </w:r>
            <w:r>
              <w:rPr>
                <w:rFonts w:hint="eastAsia" w:eastAsia="等线"/>
                <w:color w:val="000000"/>
                <w:szCs w:val="21"/>
              </w:rPr>
              <w:t>,</w:t>
            </w:r>
            <w:r>
              <w:rPr>
                <w:rFonts w:eastAsia="等线"/>
                <w:color w:val="000000"/>
                <w:szCs w:val="21"/>
              </w:rPr>
              <w:t>455</w:t>
            </w:r>
            <w:r>
              <w:rPr>
                <w:rFonts w:hint="eastAsia" w:eastAsia="等线"/>
                <w:color w:val="000000"/>
                <w:szCs w:val="21"/>
              </w:rPr>
              <w:t>,</w:t>
            </w:r>
            <w:r>
              <w:rPr>
                <w:rFonts w:eastAsia="等线"/>
                <w:color w:val="000000"/>
                <w:szCs w:val="21"/>
              </w:rPr>
              <w:t>676.85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398" w:type="pct"/>
            <w:vAlign w:val="center"/>
          </w:tcPr>
          <w:p>
            <w:pPr>
              <w:widowControl/>
              <w:spacing w:line="340" w:lineRule="atLeast"/>
              <w:jc w:val="center"/>
              <w:rPr>
                <w:kern w:val="0"/>
                <w:szCs w:val="21"/>
              </w:rPr>
            </w:pPr>
            <w:r>
              <w:rPr>
                <w:rFonts w:hint="eastAsia"/>
                <w:kern w:val="0"/>
                <w:szCs w:val="21"/>
              </w:rPr>
              <w:t>2</w:t>
            </w:r>
          </w:p>
        </w:tc>
        <w:tc>
          <w:tcPr>
            <w:tcW w:w="2109" w:type="pct"/>
            <w:tcBorders>
              <w:top w:val="nil"/>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color w:val="000000"/>
                <w:szCs w:val="21"/>
              </w:rPr>
              <w:t>中国银行太仓沙溪支行</w:t>
            </w:r>
          </w:p>
        </w:tc>
        <w:tc>
          <w:tcPr>
            <w:tcW w:w="1474" w:type="pct"/>
            <w:tcBorders>
              <w:top w:val="nil"/>
              <w:left w:val="nil"/>
              <w:bottom w:val="single" w:color="auto" w:sz="4" w:space="0"/>
              <w:right w:val="single" w:color="auto" w:sz="4" w:space="0"/>
            </w:tcBorders>
            <w:vAlign w:val="center"/>
          </w:tcPr>
          <w:p>
            <w:pPr>
              <w:jc w:val="left"/>
              <w:rPr>
                <w:rFonts w:eastAsia="等线"/>
                <w:color w:val="000000"/>
                <w:szCs w:val="21"/>
              </w:rPr>
            </w:pPr>
            <w:r>
              <w:rPr>
                <w:rFonts w:eastAsia="等线"/>
                <w:color w:val="000000"/>
                <w:szCs w:val="21"/>
              </w:rPr>
              <w:t>478070594733</w:t>
            </w:r>
          </w:p>
        </w:tc>
        <w:tc>
          <w:tcPr>
            <w:tcW w:w="1017" w:type="pct"/>
            <w:tcBorders>
              <w:top w:val="nil"/>
              <w:left w:val="nil"/>
              <w:bottom w:val="single" w:color="auto" w:sz="4" w:space="0"/>
              <w:right w:val="single" w:color="auto" w:sz="4" w:space="0"/>
            </w:tcBorders>
            <w:noWrap/>
            <w:vAlign w:val="center"/>
          </w:tcPr>
          <w:p>
            <w:pPr>
              <w:jc w:val="right"/>
              <w:rPr>
                <w:rFonts w:eastAsia="等线"/>
                <w:color w:val="000000"/>
                <w:szCs w:val="21"/>
              </w:rPr>
            </w:pPr>
            <w:r>
              <w:rPr>
                <w:rFonts w:eastAsia="等线"/>
                <w:color w:val="000000"/>
                <w:szCs w:val="21"/>
              </w:rPr>
              <w:t>149</w:t>
            </w:r>
            <w:r>
              <w:rPr>
                <w:rFonts w:hint="eastAsia" w:eastAsia="等线"/>
                <w:color w:val="000000"/>
                <w:szCs w:val="21"/>
              </w:rPr>
              <w:t>,</w:t>
            </w:r>
            <w:r>
              <w:rPr>
                <w:rFonts w:eastAsia="等线"/>
                <w:color w:val="000000"/>
                <w:szCs w:val="21"/>
              </w:rPr>
              <w:t xml:space="preserve">840.91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trPr>
        <w:tc>
          <w:tcPr>
            <w:tcW w:w="398" w:type="pct"/>
            <w:shd w:val="clear" w:color="auto" w:fill="auto"/>
            <w:vAlign w:val="center"/>
          </w:tcPr>
          <w:p>
            <w:pPr>
              <w:widowControl/>
              <w:spacing w:line="340" w:lineRule="atLeast"/>
              <w:jc w:val="center"/>
              <w:rPr>
                <w:kern w:val="0"/>
                <w:szCs w:val="21"/>
              </w:rPr>
            </w:pPr>
            <w:r>
              <w:rPr>
                <w:rFonts w:hint="eastAsia"/>
                <w:kern w:val="0"/>
                <w:szCs w:val="21"/>
              </w:rPr>
              <w:t>3</w:t>
            </w:r>
          </w:p>
        </w:tc>
        <w:tc>
          <w:tcPr>
            <w:tcW w:w="2109" w:type="pct"/>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szCs w:val="21"/>
              </w:rPr>
            </w:pPr>
            <w:r>
              <w:rPr>
                <w:rFonts w:hint="eastAsia"/>
                <w:color w:val="000000"/>
                <w:szCs w:val="21"/>
              </w:rPr>
              <w:t>中国农业银行太仓沙溪支行</w:t>
            </w:r>
          </w:p>
        </w:tc>
        <w:tc>
          <w:tcPr>
            <w:tcW w:w="1474" w:type="pct"/>
            <w:tcBorders>
              <w:top w:val="nil"/>
              <w:left w:val="nil"/>
              <w:bottom w:val="single" w:color="auto" w:sz="4" w:space="0"/>
              <w:right w:val="single" w:color="auto" w:sz="4" w:space="0"/>
            </w:tcBorders>
            <w:shd w:val="clear" w:color="auto" w:fill="auto"/>
            <w:vAlign w:val="center"/>
          </w:tcPr>
          <w:p>
            <w:pPr>
              <w:jc w:val="left"/>
              <w:rPr>
                <w:rFonts w:eastAsia="等线"/>
                <w:color w:val="000000"/>
                <w:szCs w:val="21"/>
              </w:rPr>
            </w:pPr>
            <w:r>
              <w:rPr>
                <w:rFonts w:eastAsia="等线"/>
                <w:color w:val="000000"/>
                <w:szCs w:val="21"/>
              </w:rPr>
              <w:t>10534701040017996</w:t>
            </w:r>
          </w:p>
        </w:tc>
        <w:tc>
          <w:tcPr>
            <w:tcW w:w="1017" w:type="pct"/>
            <w:tcBorders>
              <w:top w:val="nil"/>
              <w:left w:val="nil"/>
              <w:bottom w:val="single" w:color="auto" w:sz="4" w:space="0"/>
              <w:right w:val="single" w:color="auto" w:sz="4" w:space="0"/>
            </w:tcBorders>
            <w:shd w:val="clear" w:color="000000" w:fill="FFFFFF"/>
            <w:noWrap/>
            <w:vAlign w:val="center"/>
          </w:tcPr>
          <w:p>
            <w:pPr>
              <w:jc w:val="right"/>
              <w:rPr>
                <w:rFonts w:eastAsia="等线"/>
                <w:color w:val="000000"/>
                <w:szCs w:val="21"/>
              </w:rPr>
            </w:pPr>
            <w:r>
              <w:rPr>
                <w:rFonts w:eastAsia="等线"/>
                <w:color w:val="000000"/>
                <w:szCs w:val="21"/>
              </w:rPr>
              <w:t>45</w:t>
            </w:r>
            <w:r>
              <w:rPr>
                <w:rFonts w:hint="eastAsia" w:eastAsia="等线"/>
                <w:color w:val="000000"/>
                <w:szCs w:val="21"/>
              </w:rPr>
              <w:t>,</w:t>
            </w:r>
            <w:r>
              <w:rPr>
                <w:rFonts w:eastAsia="等线"/>
                <w:color w:val="000000"/>
                <w:szCs w:val="21"/>
              </w:rPr>
              <w:t>380</w:t>
            </w:r>
            <w:r>
              <w:rPr>
                <w:rFonts w:hint="eastAsia" w:eastAsia="等线"/>
                <w:color w:val="000000"/>
                <w:szCs w:val="21"/>
              </w:rPr>
              <w:t>,</w:t>
            </w:r>
            <w:r>
              <w:rPr>
                <w:rFonts w:eastAsia="等线"/>
                <w:color w:val="000000"/>
                <w:szCs w:val="21"/>
              </w:rPr>
              <w:t xml:space="preserve">942.72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2507" w:type="pct"/>
            <w:gridSpan w:val="2"/>
            <w:shd w:val="clear" w:color="auto" w:fill="D7D7D7"/>
            <w:vAlign w:val="center"/>
          </w:tcPr>
          <w:p>
            <w:pPr>
              <w:pStyle w:val="7"/>
              <w:spacing w:before="0" w:beforeAutospacing="0" w:after="0" w:afterAutospacing="0" w:line="340" w:lineRule="atLeast"/>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合计</w:t>
            </w:r>
          </w:p>
        </w:tc>
        <w:tc>
          <w:tcPr>
            <w:tcW w:w="1474" w:type="pct"/>
            <w:noWrap/>
            <w:vAlign w:val="center"/>
          </w:tcPr>
          <w:p>
            <w:pPr>
              <w:pStyle w:val="7"/>
              <w:spacing w:before="0" w:beforeAutospacing="0" w:after="0" w:afterAutospacing="0" w:line="340" w:lineRule="atLeast"/>
              <w:jc w:val="both"/>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1017" w:type="pct"/>
            <w:tcBorders>
              <w:top w:val="nil"/>
              <w:left w:val="nil"/>
              <w:bottom w:val="single" w:color="auto" w:sz="8" w:space="0"/>
              <w:right w:val="single" w:color="auto" w:sz="8" w:space="0"/>
            </w:tcBorders>
            <w:noWrap/>
            <w:vAlign w:val="center"/>
          </w:tcPr>
          <w:p>
            <w:pPr>
              <w:pStyle w:val="7"/>
              <w:spacing w:before="0" w:beforeAutospacing="0" w:after="0" w:afterAutospacing="0" w:line="340" w:lineRule="atLeast"/>
              <w:jc w:val="right"/>
              <w:rPr>
                <w:rFonts w:ascii="Times New Roman" w:hAnsi="Times New Roman" w:eastAsia="等线" w:cs="Times New Roman"/>
                <w:color w:val="000000"/>
                <w:kern w:val="2"/>
                <w:sz w:val="21"/>
                <w:szCs w:val="21"/>
              </w:rPr>
            </w:pPr>
            <w:r>
              <w:rPr>
                <w:rFonts w:ascii="Times New Roman" w:hAnsi="Times New Roman" w:eastAsia="等线" w:cs="Times New Roman"/>
                <w:color w:val="000000"/>
                <w:kern w:val="2"/>
                <w:sz w:val="21"/>
                <w:szCs w:val="21"/>
              </w:rPr>
              <w:t>47</w:t>
            </w:r>
            <w:r>
              <w:rPr>
                <w:rFonts w:hint="eastAsia" w:ascii="Times New Roman" w:hAnsi="Times New Roman" w:eastAsia="等线" w:cs="Times New Roman"/>
                <w:color w:val="000000"/>
                <w:kern w:val="2"/>
                <w:sz w:val="21"/>
                <w:szCs w:val="21"/>
              </w:rPr>
              <w:t>,</w:t>
            </w:r>
            <w:r>
              <w:rPr>
                <w:rFonts w:ascii="Times New Roman" w:hAnsi="Times New Roman" w:eastAsia="等线" w:cs="Times New Roman"/>
                <w:color w:val="000000"/>
                <w:kern w:val="2"/>
                <w:sz w:val="21"/>
                <w:szCs w:val="21"/>
              </w:rPr>
              <w:t>986</w:t>
            </w:r>
            <w:r>
              <w:rPr>
                <w:rFonts w:hint="eastAsia" w:ascii="Times New Roman" w:hAnsi="Times New Roman" w:eastAsia="等线" w:cs="Times New Roman"/>
                <w:color w:val="000000"/>
                <w:kern w:val="2"/>
                <w:sz w:val="21"/>
                <w:szCs w:val="21"/>
              </w:rPr>
              <w:t>,</w:t>
            </w:r>
            <w:r>
              <w:rPr>
                <w:rFonts w:ascii="Times New Roman" w:hAnsi="Times New Roman" w:eastAsia="等线" w:cs="Times New Roman"/>
                <w:color w:val="000000"/>
                <w:kern w:val="2"/>
                <w:sz w:val="21"/>
                <w:szCs w:val="21"/>
              </w:rPr>
              <w:t>460.48</w:t>
            </w:r>
          </w:p>
        </w:tc>
      </w:tr>
    </w:tbl>
    <w:p>
      <w:pPr>
        <w:adjustRightInd w:val="0"/>
        <w:snapToGrid w:val="0"/>
        <w:spacing w:line="440" w:lineRule="atLeast"/>
        <w:ind w:firstLine="480" w:firstLineChars="200"/>
        <w:rPr>
          <w:sz w:val="24"/>
        </w:rPr>
      </w:pPr>
      <w:r>
        <w:rPr>
          <w:rFonts w:hint="eastAsia"/>
          <w:sz w:val="24"/>
        </w:rPr>
        <w:t>当期使用闲置募集资金进行现金管理的收益共</w:t>
      </w:r>
      <w:r>
        <w:rPr>
          <w:sz w:val="24"/>
        </w:rPr>
        <w:t>449.40</w:t>
      </w:r>
      <w:r>
        <w:rPr>
          <w:rFonts w:hint="eastAsia"/>
          <w:sz w:val="24"/>
        </w:rPr>
        <w:t>万元，期末的投资明细情况如下，均为保本</w:t>
      </w:r>
      <w:r>
        <w:rPr>
          <w:rFonts w:hint="eastAsia"/>
          <w:sz w:val="24"/>
          <w:lang w:val="en-US" w:eastAsia="zh-CN"/>
        </w:rPr>
        <w:t>型</w:t>
      </w:r>
      <w:bookmarkStart w:id="0" w:name="_GoBack"/>
      <w:bookmarkEnd w:id="0"/>
      <w:r>
        <w:rPr>
          <w:rFonts w:hint="eastAsia"/>
          <w:sz w:val="24"/>
        </w:rPr>
        <w:t>产品：</w:t>
      </w:r>
    </w:p>
    <w:tbl>
      <w:tblPr>
        <w:tblStyle w:val="9"/>
        <w:tblW w:w="8350" w:type="dxa"/>
        <w:tblInd w:w="56" w:type="dxa"/>
        <w:tblLayout w:type="fixed"/>
        <w:tblCellMar>
          <w:top w:w="0" w:type="dxa"/>
          <w:left w:w="108" w:type="dxa"/>
          <w:bottom w:w="0" w:type="dxa"/>
          <w:right w:w="108" w:type="dxa"/>
        </w:tblCellMar>
      </w:tblPr>
      <w:tblGrid>
        <w:gridCol w:w="1088"/>
        <w:gridCol w:w="2987"/>
        <w:gridCol w:w="1688"/>
        <w:gridCol w:w="1450"/>
        <w:gridCol w:w="1137"/>
      </w:tblGrid>
      <w:tr>
        <w:tblPrEx>
          <w:tblCellMar>
            <w:top w:w="0" w:type="dxa"/>
            <w:left w:w="108" w:type="dxa"/>
            <w:bottom w:w="0" w:type="dxa"/>
            <w:right w:w="108" w:type="dxa"/>
          </w:tblCellMar>
        </w:tblPrEx>
        <w:trPr>
          <w:trHeight w:val="90" w:hRule="atLeast"/>
        </w:trPr>
        <w:tc>
          <w:tcPr>
            <w:tcW w:w="1088" w:type="dxa"/>
            <w:tcBorders>
              <w:top w:val="single" w:color="auto" w:sz="4" w:space="0"/>
              <w:left w:val="single" w:color="auto" w:sz="4" w:space="0"/>
              <w:bottom w:val="single" w:color="auto" w:sz="4" w:space="0"/>
              <w:right w:val="single" w:color="auto" w:sz="4" w:space="0"/>
            </w:tcBorders>
            <w:shd w:val="clear" w:color="000000" w:fill="D0CECE"/>
            <w:noWrap/>
            <w:vAlign w:val="center"/>
          </w:tcPr>
          <w:p>
            <w:pPr>
              <w:widowControl/>
              <w:jc w:val="center"/>
              <w:rPr>
                <w:b/>
                <w:bCs/>
                <w:color w:val="000000"/>
                <w:kern w:val="0"/>
                <w:szCs w:val="21"/>
              </w:rPr>
            </w:pPr>
            <w:r>
              <w:rPr>
                <w:b/>
                <w:bCs/>
                <w:color w:val="000000"/>
                <w:kern w:val="0"/>
                <w:szCs w:val="21"/>
              </w:rPr>
              <w:t>银行名称</w:t>
            </w:r>
          </w:p>
        </w:tc>
        <w:tc>
          <w:tcPr>
            <w:tcW w:w="2987" w:type="dxa"/>
            <w:tcBorders>
              <w:top w:val="single" w:color="auto" w:sz="4" w:space="0"/>
              <w:left w:val="single" w:color="auto" w:sz="4" w:space="0"/>
              <w:bottom w:val="single" w:color="auto" w:sz="4" w:space="0"/>
              <w:right w:val="single" w:color="auto" w:sz="4" w:space="0"/>
            </w:tcBorders>
            <w:shd w:val="clear" w:color="000000" w:fill="D0CECE"/>
            <w:noWrap/>
            <w:vAlign w:val="center"/>
          </w:tcPr>
          <w:p>
            <w:pPr>
              <w:widowControl/>
              <w:jc w:val="center"/>
              <w:rPr>
                <w:b/>
                <w:bCs/>
                <w:color w:val="000000"/>
                <w:kern w:val="0"/>
                <w:szCs w:val="21"/>
              </w:rPr>
            </w:pPr>
            <w:r>
              <w:rPr>
                <w:b/>
                <w:bCs/>
                <w:color w:val="000000"/>
                <w:kern w:val="0"/>
                <w:szCs w:val="21"/>
              </w:rPr>
              <w:t>产品</w:t>
            </w:r>
            <w:r>
              <w:rPr>
                <w:rFonts w:hint="eastAsia"/>
                <w:b/>
                <w:bCs/>
                <w:color w:val="000000"/>
                <w:kern w:val="0"/>
                <w:szCs w:val="21"/>
              </w:rPr>
              <w:t>名称</w:t>
            </w:r>
          </w:p>
        </w:tc>
        <w:tc>
          <w:tcPr>
            <w:tcW w:w="1688" w:type="dxa"/>
            <w:tcBorders>
              <w:top w:val="single" w:color="auto" w:sz="4" w:space="0"/>
              <w:left w:val="single" w:color="auto" w:sz="4" w:space="0"/>
              <w:bottom w:val="single" w:color="auto" w:sz="4" w:space="0"/>
              <w:right w:val="single" w:color="auto" w:sz="4" w:space="0"/>
            </w:tcBorders>
            <w:shd w:val="clear" w:color="000000" w:fill="D0CECE"/>
            <w:noWrap/>
            <w:vAlign w:val="center"/>
          </w:tcPr>
          <w:p>
            <w:pPr>
              <w:widowControl/>
              <w:jc w:val="center"/>
              <w:rPr>
                <w:b/>
                <w:bCs/>
                <w:color w:val="000000"/>
                <w:kern w:val="0"/>
                <w:szCs w:val="21"/>
              </w:rPr>
            </w:pPr>
            <w:r>
              <w:rPr>
                <w:b/>
                <w:bCs/>
                <w:color w:val="000000"/>
                <w:kern w:val="0"/>
                <w:szCs w:val="21"/>
              </w:rPr>
              <w:t>申购金额（元）</w:t>
            </w:r>
          </w:p>
        </w:tc>
        <w:tc>
          <w:tcPr>
            <w:tcW w:w="1450" w:type="dxa"/>
            <w:tcBorders>
              <w:top w:val="single" w:color="auto" w:sz="4" w:space="0"/>
              <w:left w:val="single" w:color="auto" w:sz="4" w:space="0"/>
              <w:bottom w:val="single" w:color="auto" w:sz="4" w:space="0"/>
              <w:right w:val="single" w:color="auto" w:sz="4" w:space="0"/>
            </w:tcBorders>
            <w:shd w:val="clear" w:color="000000" w:fill="D0CECE"/>
            <w:noWrap/>
            <w:vAlign w:val="center"/>
          </w:tcPr>
          <w:p>
            <w:pPr>
              <w:widowControl/>
              <w:jc w:val="center"/>
              <w:rPr>
                <w:b/>
                <w:bCs/>
                <w:color w:val="000000"/>
                <w:kern w:val="0"/>
                <w:szCs w:val="21"/>
              </w:rPr>
            </w:pPr>
            <w:r>
              <w:rPr>
                <w:b/>
                <w:bCs/>
                <w:color w:val="000000"/>
                <w:kern w:val="0"/>
                <w:szCs w:val="21"/>
              </w:rPr>
              <w:t>申购日</w:t>
            </w:r>
          </w:p>
        </w:tc>
        <w:tc>
          <w:tcPr>
            <w:tcW w:w="1137" w:type="dxa"/>
            <w:tcBorders>
              <w:top w:val="single" w:color="auto" w:sz="4" w:space="0"/>
              <w:left w:val="single" w:color="auto" w:sz="4" w:space="0"/>
              <w:bottom w:val="single" w:color="auto" w:sz="4" w:space="0"/>
              <w:right w:val="single" w:color="auto" w:sz="4" w:space="0"/>
            </w:tcBorders>
            <w:shd w:val="clear" w:color="000000" w:fill="D0CECE"/>
            <w:noWrap/>
            <w:vAlign w:val="center"/>
          </w:tcPr>
          <w:p>
            <w:pPr>
              <w:widowControl/>
              <w:jc w:val="center"/>
              <w:rPr>
                <w:b/>
                <w:bCs/>
                <w:color w:val="000000"/>
                <w:kern w:val="0"/>
                <w:szCs w:val="21"/>
              </w:rPr>
            </w:pPr>
            <w:r>
              <w:rPr>
                <w:b/>
                <w:bCs/>
                <w:color w:val="000000"/>
                <w:kern w:val="0"/>
                <w:szCs w:val="21"/>
              </w:rPr>
              <w:t>产品期限</w:t>
            </w:r>
          </w:p>
        </w:tc>
      </w:tr>
      <w:tr>
        <w:tblPrEx>
          <w:tblCellMar>
            <w:top w:w="0" w:type="dxa"/>
            <w:left w:w="108" w:type="dxa"/>
            <w:bottom w:w="0" w:type="dxa"/>
            <w:right w:w="108" w:type="dxa"/>
          </w:tblCellMar>
        </w:tblPrEx>
        <w:trPr>
          <w:trHeight w:val="90" w:hRule="atLeast"/>
        </w:trPr>
        <w:tc>
          <w:tcPr>
            <w:tcW w:w="108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color w:val="000000"/>
                <w:kern w:val="0"/>
                <w:szCs w:val="21"/>
              </w:rPr>
            </w:pPr>
            <w:r>
              <w:rPr>
                <w:color w:val="000000"/>
                <w:kern w:val="0"/>
                <w:szCs w:val="21"/>
              </w:rPr>
              <w:t>浦发银行</w:t>
            </w:r>
          </w:p>
        </w:tc>
        <w:tc>
          <w:tcPr>
            <w:tcW w:w="29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color w:val="000000"/>
                <w:kern w:val="0"/>
                <w:szCs w:val="21"/>
              </w:rPr>
            </w:pPr>
            <w:r>
              <w:rPr>
                <w:rFonts w:hint="eastAsia"/>
                <w:color w:val="000000"/>
                <w:kern w:val="0"/>
                <w:szCs w:val="21"/>
              </w:rPr>
              <w:t>利多多公司稳利2</w:t>
            </w:r>
            <w:r>
              <w:rPr>
                <w:color w:val="000000"/>
                <w:kern w:val="0"/>
                <w:szCs w:val="21"/>
              </w:rPr>
              <w:t>3</w:t>
            </w:r>
            <w:r>
              <w:rPr>
                <w:rFonts w:hint="eastAsia"/>
                <w:color w:val="000000"/>
                <w:kern w:val="0"/>
                <w:szCs w:val="21"/>
              </w:rPr>
              <w:t>JG3</w:t>
            </w:r>
            <w:r>
              <w:rPr>
                <w:color w:val="000000"/>
                <w:kern w:val="0"/>
                <w:szCs w:val="21"/>
              </w:rPr>
              <w:t>243</w:t>
            </w:r>
            <w:r>
              <w:rPr>
                <w:rFonts w:hint="eastAsia"/>
                <w:color w:val="000000"/>
                <w:kern w:val="0"/>
                <w:szCs w:val="21"/>
              </w:rPr>
              <w:t>期</w:t>
            </w:r>
          </w:p>
        </w:tc>
        <w:tc>
          <w:tcPr>
            <w:tcW w:w="168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right"/>
              <w:rPr>
                <w:color w:val="000000"/>
                <w:kern w:val="0"/>
                <w:szCs w:val="21"/>
              </w:rPr>
            </w:pPr>
            <w:r>
              <w:rPr>
                <w:color w:val="000000"/>
                <w:kern w:val="0"/>
                <w:szCs w:val="21"/>
              </w:rPr>
              <w:t xml:space="preserve">82,000,000.00 </w:t>
            </w:r>
          </w:p>
        </w:tc>
        <w:tc>
          <w:tcPr>
            <w:tcW w:w="145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color w:val="000000"/>
                <w:kern w:val="0"/>
                <w:szCs w:val="21"/>
              </w:rPr>
            </w:pPr>
            <w:r>
              <w:rPr>
                <w:color w:val="000000"/>
                <w:kern w:val="0"/>
                <w:szCs w:val="21"/>
              </w:rPr>
              <w:t>2023/5/19</w:t>
            </w:r>
          </w:p>
        </w:tc>
        <w:tc>
          <w:tcPr>
            <w:tcW w:w="113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color w:val="000000"/>
                <w:kern w:val="0"/>
                <w:szCs w:val="21"/>
              </w:rPr>
            </w:pPr>
            <w:r>
              <w:rPr>
                <w:color w:val="000000"/>
                <w:kern w:val="0"/>
                <w:szCs w:val="21"/>
              </w:rPr>
              <w:t>三个月</w:t>
            </w:r>
          </w:p>
        </w:tc>
      </w:tr>
      <w:tr>
        <w:tblPrEx>
          <w:tblCellMar>
            <w:top w:w="0" w:type="dxa"/>
            <w:left w:w="108" w:type="dxa"/>
            <w:bottom w:w="0" w:type="dxa"/>
            <w:right w:w="108" w:type="dxa"/>
          </w:tblCellMar>
        </w:tblPrEx>
        <w:trPr>
          <w:trHeight w:val="90" w:hRule="atLeast"/>
        </w:trPr>
        <w:tc>
          <w:tcPr>
            <w:tcW w:w="108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color w:val="000000"/>
                <w:kern w:val="0"/>
                <w:szCs w:val="21"/>
              </w:rPr>
            </w:pPr>
            <w:r>
              <w:rPr>
                <w:rFonts w:hint="eastAsia"/>
                <w:color w:val="000000"/>
                <w:kern w:val="0"/>
                <w:szCs w:val="21"/>
              </w:rPr>
              <w:t>浦发银行</w:t>
            </w:r>
          </w:p>
        </w:tc>
        <w:tc>
          <w:tcPr>
            <w:tcW w:w="298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color w:val="000000"/>
                <w:kern w:val="0"/>
                <w:szCs w:val="21"/>
              </w:rPr>
            </w:pPr>
            <w:r>
              <w:rPr>
                <w:rFonts w:hint="eastAsia"/>
                <w:color w:val="000000"/>
                <w:kern w:val="0"/>
                <w:szCs w:val="21"/>
              </w:rPr>
              <w:t>利多多公司稳利</w:t>
            </w:r>
            <w:r>
              <w:rPr>
                <w:color w:val="000000"/>
                <w:kern w:val="0"/>
                <w:szCs w:val="21"/>
              </w:rPr>
              <w:t>23JG3285</w:t>
            </w:r>
            <w:r>
              <w:rPr>
                <w:rFonts w:hint="eastAsia"/>
                <w:color w:val="000000"/>
                <w:kern w:val="0"/>
                <w:szCs w:val="21"/>
              </w:rPr>
              <w:t>期</w:t>
            </w:r>
          </w:p>
        </w:tc>
        <w:tc>
          <w:tcPr>
            <w:tcW w:w="1688"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right"/>
              <w:rPr>
                <w:color w:val="000000"/>
                <w:kern w:val="0"/>
                <w:szCs w:val="21"/>
              </w:rPr>
            </w:pPr>
            <w:r>
              <w:rPr>
                <w:color w:val="000000"/>
                <w:kern w:val="0"/>
                <w:szCs w:val="21"/>
              </w:rPr>
              <w:t>207,000,000.00</w:t>
            </w:r>
          </w:p>
        </w:tc>
        <w:tc>
          <w:tcPr>
            <w:tcW w:w="145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color w:val="000000"/>
                <w:kern w:val="0"/>
                <w:szCs w:val="21"/>
              </w:rPr>
            </w:pPr>
            <w:r>
              <w:rPr>
                <w:color w:val="000000"/>
                <w:kern w:val="0"/>
                <w:szCs w:val="21"/>
              </w:rPr>
              <w:t>2023/6/9</w:t>
            </w:r>
          </w:p>
        </w:tc>
        <w:tc>
          <w:tcPr>
            <w:tcW w:w="113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color w:val="000000"/>
                <w:kern w:val="0"/>
                <w:szCs w:val="21"/>
              </w:rPr>
            </w:pPr>
            <w:r>
              <w:rPr>
                <w:color w:val="000000"/>
                <w:kern w:val="0"/>
                <w:szCs w:val="21"/>
              </w:rPr>
              <w:t>三个月</w:t>
            </w:r>
          </w:p>
        </w:tc>
      </w:tr>
      <w:tr>
        <w:tblPrEx>
          <w:tblCellMar>
            <w:top w:w="0" w:type="dxa"/>
            <w:left w:w="108" w:type="dxa"/>
            <w:bottom w:w="0" w:type="dxa"/>
            <w:right w:w="108" w:type="dxa"/>
          </w:tblCellMar>
        </w:tblPrEx>
        <w:trPr>
          <w:trHeight w:val="90" w:hRule="atLeast"/>
        </w:trPr>
        <w:tc>
          <w:tcPr>
            <w:tcW w:w="4075" w:type="dxa"/>
            <w:gridSpan w:val="2"/>
            <w:tcBorders>
              <w:top w:val="single" w:color="auto" w:sz="4" w:space="0"/>
              <w:left w:val="single" w:color="auto" w:sz="4" w:space="0"/>
              <w:bottom w:val="single" w:color="auto" w:sz="4" w:space="0"/>
              <w:right w:val="single" w:color="auto" w:sz="4" w:space="0"/>
            </w:tcBorders>
            <w:shd w:val="clear" w:color="000000" w:fill="D0CECE"/>
            <w:noWrap/>
            <w:vAlign w:val="center"/>
          </w:tcPr>
          <w:p>
            <w:pPr>
              <w:widowControl/>
              <w:jc w:val="center"/>
              <w:rPr>
                <w:b/>
                <w:bCs/>
                <w:color w:val="000000"/>
                <w:kern w:val="0"/>
                <w:szCs w:val="21"/>
              </w:rPr>
            </w:pPr>
            <w:r>
              <w:rPr>
                <w:b/>
                <w:bCs/>
                <w:color w:val="000000"/>
                <w:kern w:val="0"/>
                <w:szCs w:val="21"/>
              </w:rPr>
              <w:t>合计</w:t>
            </w:r>
          </w:p>
        </w:tc>
        <w:tc>
          <w:tcPr>
            <w:tcW w:w="1688" w:type="dxa"/>
            <w:tcBorders>
              <w:top w:val="single" w:color="auto" w:sz="4" w:space="0"/>
              <w:left w:val="single" w:color="auto" w:sz="4" w:space="0"/>
              <w:bottom w:val="single" w:color="auto" w:sz="4" w:space="0"/>
              <w:right w:val="single" w:color="auto" w:sz="4" w:space="0"/>
            </w:tcBorders>
            <w:shd w:val="clear" w:color="000000" w:fill="D0CECE"/>
            <w:noWrap/>
            <w:vAlign w:val="center"/>
          </w:tcPr>
          <w:p>
            <w:pPr>
              <w:widowControl/>
              <w:jc w:val="right"/>
              <w:rPr>
                <w:b/>
                <w:bCs/>
                <w:color w:val="000000"/>
                <w:kern w:val="0"/>
                <w:szCs w:val="21"/>
              </w:rPr>
            </w:pPr>
            <w:r>
              <w:rPr>
                <w:b/>
                <w:bCs/>
                <w:color w:val="000000"/>
                <w:kern w:val="0"/>
                <w:szCs w:val="21"/>
              </w:rPr>
              <w:t xml:space="preserve">289,000,000.00 </w:t>
            </w:r>
          </w:p>
        </w:tc>
        <w:tc>
          <w:tcPr>
            <w:tcW w:w="1450" w:type="dxa"/>
            <w:tcBorders>
              <w:top w:val="single" w:color="auto" w:sz="4" w:space="0"/>
              <w:left w:val="single" w:color="auto" w:sz="4" w:space="0"/>
              <w:bottom w:val="single" w:color="auto" w:sz="4" w:space="0"/>
              <w:right w:val="single" w:color="auto" w:sz="4" w:space="0"/>
            </w:tcBorders>
            <w:shd w:val="clear" w:color="000000" w:fill="D0CECE"/>
            <w:noWrap/>
            <w:vAlign w:val="center"/>
          </w:tcPr>
          <w:p>
            <w:pPr>
              <w:widowControl/>
              <w:jc w:val="center"/>
              <w:rPr>
                <w:b/>
                <w:bCs/>
                <w:color w:val="000000"/>
                <w:kern w:val="0"/>
                <w:szCs w:val="21"/>
              </w:rPr>
            </w:pPr>
            <w:r>
              <w:rPr>
                <w:b/>
                <w:bCs/>
                <w:color w:val="000000"/>
                <w:kern w:val="0"/>
                <w:szCs w:val="21"/>
              </w:rPr>
              <w:t>　</w:t>
            </w:r>
          </w:p>
        </w:tc>
        <w:tc>
          <w:tcPr>
            <w:tcW w:w="1137" w:type="dxa"/>
            <w:tcBorders>
              <w:top w:val="single" w:color="auto" w:sz="4" w:space="0"/>
              <w:left w:val="single" w:color="auto" w:sz="4" w:space="0"/>
              <w:bottom w:val="single" w:color="auto" w:sz="4" w:space="0"/>
              <w:right w:val="single" w:color="auto" w:sz="4" w:space="0"/>
            </w:tcBorders>
            <w:shd w:val="clear" w:color="000000" w:fill="D0CECE"/>
            <w:noWrap/>
            <w:vAlign w:val="center"/>
          </w:tcPr>
          <w:p>
            <w:pPr>
              <w:widowControl/>
              <w:jc w:val="center"/>
              <w:rPr>
                <w:b/>
                <w:bCs/>
                <w:color w:val="000000"/>
                <w:kern w:val="0"/>
                <w:szCs w:val="21"/>
              </w:rPr>
            </w:pPr>
            <w:r>
              <w:rPr>
                <w:b/>
                <w:bCs/>
                <w:color w:val="000000"/>
                <w:kern w:val="0"/>
                <w:szCs w:val="21"/>
              </w:rPr>
              <w:t>-</w:t>
            </w:r>
          </w:p>
        </w:tc>
      </w:tr>
    </w:tbl>
    <w:p>
      <w:pPr>
        <w:pStyle w:val="29"/>
        <w:numPr>
          <w:ilvl w:val="0"/>
          <w:numId w:val="1"/>
        </w:numPr>
        <w:adjustRightInd w:val="0"/>
        <w:snapToGrid w:val="0"/>
        <w:spacing w:line="360" w:lineRule="auto"/>
        <w:ind w:firstLine="482"/>
        <w:outlineLvl w:val="0"/>
        <w:rPr>
          <w:b/>
          <w:sz w:val="24"/>
        </w:rPr>
      </w:pPr>
      <w:r>
        <w:rPr>
          <w:b/>
          <w:sz w:val="24"/>
        </w:rPr>
        <w:t>2023年</w:t>
      </w:r>
      <w:r>
        <w:rPr>
          <w:rFonts w:hint="eastAsia"/>
          <w:b/>
          <w:sz w:val="24"/>
        </w:rPr>
        <w:t>半年度</w:t>
      </w:r>
      <w:r>
        <w:rPr>
          <w:b/>
          <w:sz w:val="24"/>
        </w:rPr>
        <w:t>募集资金的实际使用情况</w:t>
      </w:r>
    </w:p>
    <w:p>
      <w:pPr>
        <w:adjustRightInd w:val="0"/>
        <w:snapToGrid w:val="0"/>
        <w:spacing w:line="360" w:lineRule="auto"/>
        <w:ind w:firstLine="480" w:firstLineChars="200"/>
        <w:rPr>
          <w:sz w:val="24"/>
        </w:rPr>
      </w:pPr>
      <w:r>
        <w:rPr>
          <w:sz w:val="24"/>
        </w:rPr>
        <w:t>截至2023年6月30日，募集资金投资项目的资金实际使用情况详见“附表1：募集资金使用情况对照表”。</w:t>
      </w:r>
    </w:p>
    <w:p>
      <w:pPr>
        <w:pStyle w:val="29"/>
        <w:numPr>
          <w:ilvl w:val="0"/>
          <w:numId w:val="1"/>
        </w:numPr>
        <w:adjustRightInd w:val="0"/>
        <w:snapToGrid w:val="0"/>
        <w:spacing w:line="360" w:lineRule="auto"/>
        <w:ind w:firstLine="482"/>
        <w:outlineLvl w:val="0"/>
        <w:rPr>
          <w:b/>
          <w:sz w:val="24"/>
        </w:rPr>
      </w:pPr>
      <w:r>
        <w:rPr>
          <w:b/>
          <w:sz w:val="24"/>
        </w:rPr>
        <w:t>变更募集资金投资项目的资金使用情况</w:t>
      </w:r>
    </w:p>
    <w:p>
      <w:pPr>
        <w:adjustRightInd w:val="0"/>
        <w:snapToGrid w:val="0"/>
        <w:spacing w:line="360" w:lineRule="auto"/>
        <w:ind w:firstLine="482" w:firstLineChars="200"/>
        <w:outlineLvl w:val="1"/>
        <w:rPr>
          <w:b/>
          <w:bCs/>
          <w:color w:val="000000"/>
          <w:sz w:val="24"/>
        </w:rPr>
      </w:pPr>
      <w:r>
        <w:rPr>
          <w:rFonts w:hint="eastAsia"/>
          <w:b/>
          <w:bCs/>
          <w:color w:val="000000"/>
          <w:sz w:val="24"/>
        </w:rPr>
        <w:t>（一）</w:t>
      </w:r>
      <w:r>
        <w:rPr>
          <w:b/>
          <w:bCs/>
          <w:color w:val="000000"/>
          <w:sz w:val="24"/>
        </w:rPr>
        <w:t>变更募投项目实施主体</w:t>
      </w:r>
    </w:p>
    <w:p>
      <w:pPr>
        <w:adjustRightInd w:val="0"/>
        <w:snapToGrid w:val="0"/>
        <w:spacing w:line="360" w:lineRule="auto"/>
        <w:ind w:firstLine="480" w:firstLineChars="200"/>
        <w:outlineLvl w:val="1"/>
        <w:rPr>
          <w:color w:val="000000"/>
          <w:sz w:val="24"/>
        </w:rPr>
      </w:pPr>
      <w:r>
        <w:rPr>
          <w:rFonts w:hint="eastAsia"/>
          <w:color w:val="000000"/>
          <w:sz w:val="24"/>
        </w:rPr>
        <w:t>（1）</w:t>
      </w:r>
      <w:r>
        <w:rPr>
          <w:color w:val="000000"/>
          <w:sz w:val="24"/>
        </w:rPr>
        <w:t>2018年12月11日公司第八届董事会第二十三次会议、第八届监事会第十八次会议、2018年12月27日公司2018年第五次临时股东大会分别审议通过了《关于变更部分募集资金投资项目实施主体的议案》，</w:t>
      </w:r>
      <w:r>
        <w:rPr>
          <w:rFonts w:hint="eastAsia"/>
          <w:color w:val="000000"/>
          <w:sz w:val="24"/>
        </w:rPr>
        <w:t>董事会</w:t>
      </w:r>
      <w:r>
        <w:rPr>
          <w:color w:val="000000"/>
          <w:sz w:val="24"/>
        </w:rPr>
        <w:t>同意由于行政区划调整，将金海产业园四个募集资金投资项目“技术研究开发中心扩建项目”、“年产2.4万吨长玻纤增强聚丙烯车用结构材料（LFT）生产建设项目”、“年产6.6万吨高性能改性尼龙（PA）生产建设项目”、“年产3万吨高性能改性聚碳酸脂（PC）生产建设项目”的实施主体由“中广核俊尔新材料有限公司”变更为其全资子公司“中广核俊尔（浙江）新材料有限公司”，实施地点不变。</w:t>
      </w:r>
    </w:p>
    <w:p>
      <w:pPr>
        <w:snapToGrid w:val="0"/>
        <w:spacing w:line="360" w:lineRule="auto"/>
        <w:ind w:firstLine="480" w:firstLineChars="200"/>
        <w:rPr>
          <w:sz w:val="24"/>
        </w:rPr>
      </w:pPr>
      <w:r>
        <w:rPr>
          <w:rFonts w:hint="eastAsia"/>
          <w:sz w:val="24"/>
        </w:rPr>
        <w:t>（2）</w:t>
      </w:r>
      <w:r>
        <w:rPr>
          <w:sz w:val="24"/>
        </w:rPr>
        <w:t>2020年4月3日公司第九届董事会第三次会议、第九届监事会第三次会议审议通过了《关于高新核材产业园相关公司吸收合并的议案》。中广核高新核材集团有限公司（简称“高新核材”）系公司的全资子公司，其全资子公司中广核高新核材集团（太仓）三角洲新材料有限公司（以下简称“太仓新材料”，为募集资金投资项目“13.485万吨高聚物材料新建项目”实施主体）所在的产业园区规划作为华东区域生产基地（以下简称“太仓产业园”）。根据江苏省政策规定，生产经营性化工企业不得以多个法人并存租赁厂房形式进入园区，经2020年4月3日召开的第九届董事会第三次会议审议通过，公司拟执行吸收合并方案，即以全资子公司中广核三角洲（江苏）塑化有限公司（以下简称“江苏三角洲”）为主体，吸收合并全资子公司太仓新材料、中广核三角洲（苏州）高聚物有限公司（以下简称“苏州三角洲”）及中广核三角洲集团（苏州）特威塑胶有限公司（以下简称“苏州特威”），并将江苏三角洲经营地址变更至太仓产业园项目所在地，以实现三家企业入园、集中生产。</w:t>
      </w:r>
    </w:p>
    <w:p>
      <w:pPr>
        <w:snapToGrid w:val="0"/>
        <w:spacing w:line="360" w:lineRule="auto"/>
        <w:ind w:firstLine="480" w:firstLineChars="200"/>
        <w:rPr>
          <w:sz w:val="24"/>
        </w:rPr>
      </w:pPr>
      <w:r>
        <w:rPr>
          <w:sz w:val="24"/>
        </w:rPr>
        <w:t>吸收合并完成后，江苏三角洲继续存续，太仓新材料法人主体资格将依法予以注销，太仓新材料的全部资产、债权、债务、人员和业务由江苏三角洲依法继承，相应的募投项目“13.485万吨高聚物材料新建项目”实施主体由太仓新材料变更为江苏三角洲分公司。该项目的投资总额、实施地点、项目用途、预期效益等其他计划不变，未改变公司募集资金的用途和投资方向，不存在变相改变募集资金投向或损害股东利益的情形，不会对募投项目的实施造成实质性的影响。</w:t>
      </w:r>
    </w:p>
    <w:p>
      <w:pPr>
        <w:adjustRightInd w:val="0"/>
        <w:snapToGrid w:val="0"/>
        <w:spacing w:line="360" w:lineRule="auto"/>
        <w:ind w:firstLine="482" w:firstLineChars="200"/>
        <w:outlineLvl w:val="1"/>
        <w:rPr>
          <w:b/>
          <w:bCs/>
          <w:color w:val="000000"/>
          <w:sz w:val="24"/>
        </w:rPr>
      </w:pPr>
      <w:r>
        <w:rPr>
          <w:rFonts w:hint="eastAsia"/>
          <w:b/>
          <w:bCs/>
          <w:color w:val="000000"/>
          <w:sz w:val="24"/>
        </w:rPr>
        <w:t>（二）</w:t>
      </w:r>
      <w:r>
        <w:rPr>
          <w:b/>
          <w:bCs/>
          <w:color w:val="000000"/>
          <w:sz w:val="24"/>
        </w:rPr>
        <w:t>调整募集资金投资项目实施方案</w:t>
      </w:r>
    </w:p>
    <w:p>
      <w:pPr>
        <w:adjustRightInd w:val="0"/>
        <w:snapToGrid w:val="0"/>
        <w:spacing w:line="360" w:lineRule="auto"/>
        <w:ind w:firstLine="480" w:firstLineChars="200"/>
        <w:outlineLvl w:val="1"/>
        <w:rPr>
          <w:color w:val="000000"/>
          <w:sz w:val="24"/>
        </w:rPr>
      </w:pPr>
      <w:r>
        <w:rPr>
          <w:rFonts w:hint="eastAsia"/>
          <w:color w:val="000000"/>
          <w:sz w:val="24"/>
        </w:rPr>
        <w:t>1、</w:t>
      </w:r>
      <w:r>
        <w:rPr>
          <w:color w:val="000000"/>
          <w:sz w:val="24"/>
        </w:rPr>
        <w:t>为了有效防范投资风险，保证募集资金投资项目的实施质量，优化公司资源配置，提升设备的综合配套能力和利用率，经公司于2019年4月25日召开的第八届董事会第二十七次会议、第八届监事会第二十次会议、2019年5月17日召开的2018年年度股东大会审议通过，公司将募投项目新建产能降低至28.42万吨，所使用的募集资金调减至15.21亿元，并将调减的86,799.32万元募集资金及募集资金前期现金管理收益（具体金额以实施日结转的金额为准）永久性补充流动资金（具体情况参见《关于调整募集资金投资项目实施方案的公告》，公告编号2019-018）。各募投项目具体调整如下：</w:t>
      </w:r>
    </w:p>
    <w:p>
      <w:pPr>
        <w:adjustRightInd w:val="0"/>
        <w:snapToGrid w:val="0"/>
        <w:spacing w:line="360" w:lineRule="auto"/>
        <w:ind w:firstLine="480" w:firstLineChars="200"/>
        <w:outlineLvl w:val="1"/>
        <w:rPr>
          <w:color w:val="000000"/>
          <w:sz w:val="24"/>
        </w:rPr>
      </w:pPr>
      <w:r>
        <w:rPr>
          <w:color w:val="000000"/>
          <w:sz w:val="24"/>
        </w:rPr>
        <w:t>（1）“技术研究开发中心扩建项目”募集资金承诺投资额11,032.00万元，变更后投资额4,472.71万元。</w:t>
      </w:r>
    </w:p>
    <w:p>
      <w:pPr>
        <w:adjustRightInd w:val="0"/>
        <w:snapToGrid w:val="0"/>
        <w:spacing w:line="360" w:lineRule="auto"/>
        <w:ind w:firstLine="480" w:firstLineChars="200"/>
        <w:outlineLvl w:val="1"/>
        <w:rPr>
          <w:color w:val="000000"/>
          <w:sz w:val="24"/>
        </w:rPr>
      </w:pPr>
      <w:r>
        <w:rPr>
          <w:color w:val="000000"/>
          <w:sz w:val="24"/>
        </w:rPr>
        <w:t>（2）“年产2.4万吨长玻纤增强聚丙烯车用结构材料（LFT）生产建设项目”募集资金承诺投资额16,128.00万元，变更后投资额11,001.22万元，产能由年产长玻纤增强聚丙烯车用结构材料（LFT）2.4万吨调整为2.42万吨。</w:t>
      </w:r>
    </w:p>
    <w:p>
      <w:pPr>
        <w:adjustRightInd w:val="0"/>
        <w:snapToGrid w:val="0"/>
        <w:spacing w:line="360" w:lineRule="auto"/>
        <w:ind w:firstLine="480" w:firstLineChars="200"/>
        <w:outlineLvl w:val="1"/>
        <w:rPr>
          <w:color w:val="000000"/>
          <w:sz w:val="24"/>
        </w:rPr>
      </w:pPr>
      <w:r>
        <w:rPr>
          <w:color w:val="000000"/>
          <w:sz w:val="24"/>
        </w:rPr>
        <w:t>（3）“年产6.6万吨高性能改性尼龙（PA）生产建设项目”募集资金承诺投资额36,860.00万元，变更后投资额18,419.67万元，产能由年产高性能改性尼龙（PA）6.6万吨调整为3.2886万吨。</w:t>
      </w:r>
    </w:p>
    <w:p>
      <w:pPr>
        <w:adjustRightInd w:val="0"/>
        <w:snapToGrid w:val="0"/>
        <w:spacing w:line="360" w:lineRule="auto"/>
        <w:ind w:firstLine="480" w:firstLineChars="200"/>
        <w:outlineLvl w:val="1"/>
        <w:rPr>
          <w:color w:val="000000"/>
          <w:sz w:val="24"/>
        </w:rPr>
      </w:pPr>
      <w:r>
        <w:rPr>
          <w:color w:val="000000"/>
          <w:sz w:val="24"/>
        </w:rPr>
        <w:t>（4）“年产3万吨高性能改性聚碳酸脂（PC）生产建设项目”募集资金承诺投资额16,414.00万元，变更后投资额7,848.76万元，产能由年产高性能改性聚碳酸脂（PC）3万吨调整为1.6133万吨。</w:t>
      </w:r>
    </w:p>
    <w:p>
      <w:pPr>
        <w:adjustRightInd w:val="0"/>
        <w:snapToGrid w:val="0"/>
        <w:spacing w:line="360" w:lineRule="auto"/>
        <w:ind w:firstLine="480" w:firstLineChars="200"/>
        <w:outlineLvl w:val="1"/>
        <w:rPr>
          <w:color w:val="000000"/>
          <w:sz w:val="24"/>
        </w:rPr>
      </w:pPr>
      <w:r>
        <w:rPr>
          <w:color w:val="000000"/>
          <w:sz w:val="24"/>
        </w:rPr>
        <w:t>（5）“13.485万吨高聚物材料新建项目”募集资金承诺投资额53,076.70万元，变更后投资额34,165.17万元，产能由年产高聚物材料新建项目13.485万吨调整为5.864万吨。</w:t>
      </w:r>
    </w:p>
    <w:p>
      <w:pPr>
        <w:adjustRightInd w:val="0"/>
        <w:snapToGrid w:val="0"/>
        <w:spacing w:line="360" w:lineRule="auto"/>
        <w:ind w:firstLine="480" w:firstLineChars="200"/>
        <w:outlineLvl w:val="1"/>
        <w:rPr>
          <w:color w:val="000000"/>
          <w:sz w:val="24"/>
        </w:rPr>
      </w:pPr>
      <w:r>
        <w:rPr>
          <w:color w:val="000000"/>
          <w:sz w:val="24"/>
        </w:rPr>
        <w:t>（</w:t>
      </w:r>
      <w:r>
        <w:rPr>
          <w:rFonts w:hint="eastAsia"/>
          <w:color w:val="000000"/>
          <w:sz w:val="24"/>
        </w:rPr>
        <w:t>6</w:t>
      </w:r>
      <w:r>
        <w:rPr>
          <w:color w:val="000000"/>
          <w:sz w:val="24"/>
        </w:rPr>
        <w:t>）“18万吨高聚物材料新建项目”募集资金承诺投资额68,248.40万元，变更后投资额39,052.25万元，产能由年产高聚物材料新建项目18万吨调整为5.239万吨。</w:t>
      </w:r>
    </w:p>
    <w:p>
      <w:pPr>
        <w:adjustRightInd w:val="0"/>
        <w:snapToGrid w:val="0"/>
        <w:spacing w:line="360" w:lineRule="auto"/>
        <w:ind w:firstLine="480" w:firstLineChars="200"/>
        <w:outlineLvl w:val="1"/>
        <w:rPr>
          <w:color w:val="000000"/>
          <w:sz w:val="24"/>
        </w:rPr>
      </w:pPr>
      <w:r>
        <w:rPr>
          <w:rFonts w:hint="eastAsia"/>
          <w:color w:val="000000"/>
          <w:sz w:val="24"/>
        </w:rPr>
        <w:t>2、</w:t>
      </w:r>
      <w:r>
        <w:rPr>
          <w:color w:val="000000"/>
          <w:sz w:val="24"/>
        </w:rPr>
        <w:t>2022</w:t>
      </w:r>
      <w:r>
        <w:rPr>
          <w:rFonts w:hint="eastAsia"/>
          <w:color w:val="000000"/>
          <w:sz w:val="24"/>
        </w:rPr>
        <w:t>年</w:t>
      </w:r>
      <w:r>
        <w:rPr>
          <w:color w:val="000000"/>
          <w:sz w:val="24"/>
        </w:rPr>
        <w:t>9</w:t>
      </w:r>
      <w:r>
        <w:rPr>
          <w:rFonts w:hint="eastAsia"/>
          <w:color w:val="000000"/>
          <w:sz w:val="24"/>
        </w:rPr>
        <w:t>月</w:t>
      </w:r>
      <w:r>
        <w:rPr>
          <w:color w:val="000000"/>
          <w:sz w:val="24"/>
        </w:rPr>
        <w:t>13</w:t>
      </w:r>
      <w:r>
        <w:rPr>
          <w:rFonts w:hint="eastAsia"/>
          <w:color w:val="000000"/>
          <w:sz w:val="24"/>
        </w:rPr>
        <w:t>日，公司2</w:t>
      </w:r>
      <w:r>
        <w:rPr>
          <w:color w:val="000000"/>
          <w:sz w:val="24"/>
        </w:rPr>
        <w:t>022</w:t>
      </w:r>
      <w:r>
        <w:rPr>
          <w:rFonts w:hint="eastAsia"/>
          <w:color w:val="000000"/>
          <w:sz w:val="24"/>
        </w:rPr>
        <w:t>年第五届临时股东大会审议通过了《关于中山产业园10万吨新材料新建项目投资方案调整的议案》，</w:t>
      </w:r>
      <w:r>
        <w:rPr>
          <w:color w:val="000000"/>
          <w:sz w:val="24"/>
        </w:rPr>
        <w:t>募集资金承诺投资额37,142.60万元，变更后投资额36</w:t>
      </w:r>
      <w:r>
        <w:rPr>
          <w:rFonts w:hint="eastAsia"/>
          <w:color w:val="000000"/>
          <w:sz w:val="24"/>
        </w:rPr>
        <w:t>,</w:t>
      </w:r>
      <w:r>
        <w:rPr>
          <w:color w:val="000000"/>
          <w:sz w:val="24"/>
        </w:rPr>
        <w:t>944.36万元，</w:t>
      </w:r>
      <w:r>
        <w:rPr>
          <w:rFonts w:hint="eastAsia"/>
          <w:color w:val="000000"/>
          <w:sz w:val="24"/>
        </w:rPr>
        <w:t>产能不变。</w:t>
      </w:r>
    </w:p>
    <w:p>
      <w:pPr>
        <w:spacing w:line="360" w:lineRule="auto"/>
        <w:ind w:firstLine="480" w:firstLineChars="200"/>
        <w:outlineLvl w:val="4"/>
        <w:rPr>
          <w:sz w:val="24"/>
        </w:rPr>
      </w:pPr>
      <w:r>
        <w:rPr>
          <w:sz w:val="24"/>
        </w:rPr>
        <w:t>（1）项目基本情况</w:t>
      </w:r>
    </w:p>
    <w:p>
      <w:pPr>
        <w:spacing w:line="360" w:lineRule="auto"/>
        <w:ind w:firstLine="480" w:firstLineChars="200"/>
        <w:outlineLvl w:val="4"/>
        <w:rPr>
          <w:sz w:val="24"/>
        </w:rPr>
      </w:pPr>
      <w:r>
        <w:rPr>
          <w:rFonts w:hint="eastAsia"/>
          <w:sz w:val="24"/>
        </w:rPr>
        <w:t>项目名称、建设单位、建设地点均不变。</w:t>
      </w:r>
    </w:p>
    <w:p>
      <w:pPr>
        <w:spacing w:line="360" w:lineRule="auto"/>
        <w:ind w:firstLine="480" w:firstLineChars="200"/>
        <w:rPr>
          <w:sz w:val="24"/>
        </w:rPr>
      </w:pPr>
      <w:r>
        <w:rPr>
          <w:rFonts w:hint="eastAsia"/>
          <w:sz w:val="24"/>
        </w:rPr>
        <w:t>（2）建设内容及产能</w:t>
      </w:r>
    </w:p>
    <w:p>
      <w:pPr>
        <w:spacing w:line="360" w:lineRule="auto"/>
        <w:ind w:firstLine="480" w:firstLineChars="200"/>
        <w:rPr>
          <w:sz w:val="24"/>
        </w:rPr>
      </w:pPr>
      <w:r>
        <w:rPr>
          <w:rFonts w:hint="eastAsia"/>
          <w:sz w:val="24"/>
        </w:rPr>
        <w:t>本项目原规划产品PVC、POE、TPE，化学交联PE、硅烷交联PE总计10万吨/年。结合当前市场需求及公司未来发展规划，拟变更项目产品类别为：PVC、POE、TPE、PC工程料、TPO防水卷材料、可降解材料6大类（减少硅烷交联PE、化学交联PE，增加PC工程材料、TPO防水卷材料、可降解材料），总产能不变。</w:t>
      </w:r>
    </w:p>
    <w:p>
      <w:pPr>
        <w:spacing w:line="360" w:lineRule="auto"/>
        <w:ind w:firstLine="480" w:firstLineChars="200"/>
        <w:outlineLvl w:val="4"/>
        <w:rPr>
          <w:sz w:val="24"/>
        </w:rPr>
      </w:pPr>
      <w:r>
        <w:rPr>
          <w:sz w:val="24"/>
        </w:rPr>
        <w:t>（</w:t>
      </w:r>
      <w:r>
        <w:rPr>
          <w:rFonts w:hint="eastAsia"/>
          <w:sz w:val="24"/>
        </w:rPr>
        <w:t>3</w:t>
      </w:r>
      <w:r>
        <w:rPr>
          <w:sz w:val="24"/>
        </w:rPr>
        <w:t>）项目建设投资估算及建设周期</w:t>
      </w:r>
    </w:p>
    <w:p>
      <w:pPr>
        <w:snapToGrid w:val="0"/>
        <w:spacing w:line="360" w:lineRule="auto"/>
        <w:ind w:firstLine="480" w:firstLineChars="200"/>
        <w:rPr>
          <w:sz w:val="24"/>
        </w:rPr>
      </w:pPr>
      <w:r>
        <w:rPr>
          <w:rFonts w:hint="eastAsia"/>
          <w:kern w:val="0"/>
          <w:sz w:val="24"/>
        </w:rPr>
        <w:t>调整后</w:t>
      </w:r>
      <w:r>
        <w:rPr>
          <w:kern w:val="0"/>
          <w:sz w:val="24"/>
        </w:rPr>
        <w:t>本项目</w:t>
      </w:r>
      <w:r>
        <w:rPr>
          <w:rFonts w:hint="eastAsia"/>
          <w:kern w:val="0"/>
          <w:sz w:val="24"/>
        </w:rPr>
        <w:t>募集资金</w:t>
      </w:r>
      <w:r>
        <w:rPr>
          <w:kern w:val="0"/>
          <w:sz w:val="24"/>
        </w:rPr>
        <w:t>总投资估算为</w:t>
      </w:r>
      <w:r>
        <w:rPr>
          <w:rFonts w:hint="eastAsia"/>
          <w:sz w:val="24"/>
        </w:rPr>
        <w:t>36,944.36</w:t>
      </w:r>
      <w:r>
        <w:rPr>
          <w:sz w:val="24"/>
        </w:rPr>
        <w:t>万元</w:t>
      </w:r>
      <w:r>
        <w:rPr>
          <w:rFonts w:hint="eastAsia"/>
          <w:sz w:val="24"/>
        </w:rPr>
        <w:t>（减少198.24万元）</w:t>
      </w:r>
      <w:r>
        <w:rPr>
          <w:sz w:val="24"/>
        </w:rPr>
        <w:t>，其中建设投资</w:t>
      </w:r>
      <w:r>
        <w:rPr>
          <w:rFonts w:hint="eastAsia"/>
          <w:sz w:val="24"/>
        </w:rPr>
        <w:t>32,317.28</w:t>
      </w:r>
      <w:r>
        <w:rPr>
          <w:sz w:val="24"/>
        </w:rPr>
        <w:t>万元，铺底流动资金</w:t>
      </w:r>
      <w:r>
        <w:rPr>
          <w:rFonts w:hint="eastAsia"/>
          <w:sz w:val="24"/>
        </w:rPr>
        <w:t>4,627.08</w:t>
      </w:r>
      <w:r>
        <w:rPr>
          <w:sz w:val="24"/>
        </w:rPr>
        <w:t>万元。</w:t>
      </w:r>
      <w:r>
        <w:rPr>
          <w:kern w:val="0"/>
          <w:sz w:val="24"/>
        </w:rPr>
        <w:t>本项目建设期约为</w:t>
      </w:r>
      <w:r>
        <w:rPr>
          <w:rFonts w:hint="eastAsia"/>
          <w:kern w:val="0"/>
          <w:sz w:val="24"/>
        </w:rPr>
        <w:t>15个月，</w:t>
      </w:r>
      <w:r>
        <w:rPr>
          <w:sz w:val="24"/>
        </w:rPr>
        <w:t>预计20</w:t>
      </w:r>
      <w:r>
        <w:rPr>
          <w:rFonts w:hint="eastAsia"/>
          <w:sz w:val="24"/>
        </w:rPr>
        <w:t>24</w:t>
      </w:r>
      <w:r>
        <w:rPr>
          <w:sz w:val="24"/>
        </w:rPr>
        <w:t>年</w:t>
      </w:r>
      <w:r>
        <w:rPr>
          <w:rFonts w:hint="eastAsia"/>
          <w:sz w:val="24"/>
        </w:rPr>
        <w:t>3</w:t>
      </w:r>
      <w:r>
        <w:rPr>
          <w:sz w:val="24"/>
        </w:rPr>
        <w:t>月31日达到可使用状态</w:t>
      </w:r>
      <w:r>
        <w:rPr>
          <w:rFonts w:hint="eastAsia"/>
          <w:sz w:val="24"/>
        </w:rPr>
        <w:t>。</w:t>
      </w:r>
    </w:p>
    <w:p>
      <w:pPr>
        <w:adjustRightInd w:val="0"/>
        <w:snapToGrid w:val="0"/>
        <w:spacing w:line="360" w:lineRule="auto"/>
        <w:ind w:firstLine="480" w:firstLineChars="200"/>
        <w:outlineLvl w:val="1"/>
        <w:rPr>
          <w:color w:val="000000"/>
          <w:sz w:val="24"/>
        </w:rPr>
      </w:pPr>
      <w:r>
        <w:rPr>
          <w:sz w:val="24"/>
        </w:rPr>
        <w:t>截至2023年6月30日</w:t>
      </w:r>
      <w:r>
        <w:rPr>
          <w:color w:val="000000"/>
          <w:sz w:val="24"/>
        </w:rPr>
        <w:t>，变更募集资金投资项目情况详见附表2《变更募集资金投资项目情况表》。</w:t>
      </w:r>
    </w:p>
    <w:p>
      <w:pPr>
        <w:adjustRightInd w:val="0"/>
        <w:snapToGrid w:val="0"/>
        <w:spacing w:line="360" w:lineRule="auto"/>
        <w:ind w:firstLine="482" w:firstLineChars="200"/>
        <w:outlineLvl w:val="1"/>
        <w:rPr>
          <w:b/>
          <w:sz w:val="24"/>
        </w:rPr>
      </w:pPr>
      <w:r>
        <w:rPr>
          <w:b/>
          <w:sz w:val="24"/>
        </w:rPr>
        <w:t>（</w:t>
      </w:r>
      <w:r>
        <w:rPr>
          <w:rFonts w:hint="eastAsia"/>
          <w:b/>
          <w:sz w:val="24"/>
        </w:rPr>
        <w:t>三</w:t>
      </w:r>
      <w:r>
        <w:rPr>
          <w:b/>
          <w:sz w:val="24"/>
        </w:rPr>
        <w:t>）募集资金投资项目对外转让或置换的情况</w:t>
      </w:r>
    </w:p>
    <w:p>
      <w:pPr>
        <w:adjustRightInd w:val="0"/>
        <w:snapToGrid w:val="0"/>
        <w:spacing w:line="360" w:lineRule="auto"/>
        <w:ind w:firstLine="480" w:firstLineChars="200"/>
        <w:rPr>
          <w:sz w:val="22"/>
          <w:szCs w:val="22"/>
        </w:rPr>
      </w:pPr>
      <w:r>
        <w:rPr>
          <w:sz w:val="24"/>
        </w:rPr>
        <w:t>截至2023年6月30日，公司不存在募集资金投资项目对外转让或置换情况。</w:t>
      </w:r>
    </w:p>
    <w:p>
      <w:pPr>
        <w:pStyle w:val="29"/>
        <w:numPr>
          <w:ilvl w:val="0"/>
          <w:numId w:val="1"/>
        </w:numPr>
        <w:adjustRightInd w:val="0"/>
        <w:snapToGrid w:val="0"/>
        <w:spacing w:line="360" w:lineRule="auto"/>
        <w:ind w:firstLine="482"/>
        <w:outlineLvl w:val="0"/>
        <w:rPr>
          <w:b/>
          <w:sz w:val="24"/>
        </w:rPr>
      </w:pPr>
      <w:r>
        <w:rPr>
          <w:b/>
          <w:sz w:val="24"/>
        </w:rPr>
        <w:t>募集资金使用及披露中存在的问题</w:t>
      </w:r>
    </w:p>
    <w:p>
      <w:pPr>
        <w:adjustRightInd w:val="0"/>
        <w:snapToGrid w:val="0"/>
        <w:ind w:right="960"/>
        <w:jc w:val="center"/>
        <w:rPr>
          <w:sz w:val="24"/>
        </w:rPr>
      </w:pPr>
      <w:r>
        <w:rPr>
          <w:sz w:val="24"/>
        </w:rPr>
        <w:t xml:space="preserve">    公司及时、真实、准确、完整地披露相关信息，不存在违规情形。</w:t>
      </w:r>
    </w:p>
    <w:p>
      <w:pPr>
        <w:adjustRightInd w:val="0"/>
        <w:snapToGrid w:val="0"/>
        <w:spacing w:line="360" w:lineRule="auto"/>
        <w:ind w:left="480"/>
        <w:jc w:val="right"/>
        <w:rPr>
          <w:b/>
          <w:sz w:val="24"/>
        </w:rPr>
      </w:pPr>
    </w:p>
    <w:p>
      <w:pPr>
        <w:adjustRightInd w:val="0"/>
        <w:snapToGrid w:val="0"/>
        <w:spacing w:line="360" w:lineRule="auto"/>
        <w:ind w:right="964"/>
        <w:rPr>
          <w:b/>
          <w:sz w:val="24"/>
        </w:rPr>
      </w:pPr>
    </w:p>
    <w:p>
      <w:pPr>
        <w:adjustRightInd w:val="0"/>
        <w:snapToGrid w:val="0"/>
        <w:spacing w:line="360" w:lineRule="auto"/>
        <w:ind w:right="964"/>
        <w:rPr>
          <w:b/>
          <w:sz w:val="24"/>
        </w:rPr>
      </w:pPr>
    </w:p>
    <w:p>
      <w:pPr>
        <w:adjustRightInd w:val="0"/>
        <w:snapToGrid w:val="0"/>
        <w:spacing w:line="360" w:lineRule="auto"/>
        <w:ind w:left="480"/>
        <w:jc w:val="right"/>
        <w:rPr>
          <w:b/>
          <w:sz w:val="24"/>
        </w:rPr>
      </w:pPr>
    </w:p>
    <w:p>
      <w:pPr>
        <w:adjustRightInd w:val="0"/>
        <w:snapToGrid w:val="0"/>
        <w:spacing w:line="360" w:lineRule="auto"/>
        <w:ind w:left="480"/>
        <w:jc w:val="right"/>
        <w:rPr>
          <w:b/>
          <w:sz w:val="24"/>
        </w:rPr>
      </w:pPr>
      <w:r>
        <w:rPr>
          <w:b/>
          <w:sz w:val="24"/>
        </w:rPr>
        <w:t>中广核核技术发展股份有限公司</w:t>
      </w:r>
    </w:p>
    <w:p>
      <w:pPr>
        <w:adjustRightInd w:val="0"/>
        <w:snapToGrid w:val="0"/>
        <w:spacing w:line="360" w:lineRule="auto"/>
        <w:ind w:left="480"/>
        <w:jc w:val="right"/>
        <w:rPr>
          <w:b/>
          <w:sz w:val="24"/>
        </w:rPr>
      </w:pPr>
      <w:r>
        <w:rPr>
          <w:b/>
          <w:sz w:val="24"/>
        </w:rPr>
        <w:t>董事会</w:t>
      </w:r>
    </w:p>
    <w:p>
      <w:pPr>
        <w:wordWrap w:val="0"/>
        <w:adjustRightInd w:val="0"/>
        <w:snapToGrid w:val="0"/>
        <w:spacing w:line="360" w:lineRule="auto"/>
        <w:ind w:firstLine="482" w:firstLineChars="200"/>
        <w:jc w:val="right"/>
        <w:rPr>
          <w:sz w:val="22"/>
          <w:szCs w:val="22"/>
        </w:rPr>
      </w:pPr>
      <w:r>
        <w:rPr>
          <w:b/>
          <w:sz w:val="24"/>
        </w:rPr>
        <w:t>202</w:t>
      </w:r>
      <w:r>
        <w:rPr>
          <w:rFonts w:hint="eastAsia"/>
          <w:b/>
          <w:sz w:val="24"/>
        </w:rPr>
        <w:t>3</w:t>
      </w:r>
      <w:r>
        <w:rPr>
          <w:b/>
          <w:sz w:val="24"/>
        </w:rPr>
        <w:t>年</w:t>
      </w:r>
      <w:r>
        <w:rPr>
          <w:rFonts w:hint="eastAsia"/>
          <w:b/>
          <w:sz w:val="24"/>
          <w:lang w:val="en-US" w:eastAsia="zh-CN"/>
        </w:rPr>
        <w:t>8</w:t>
      </w:r>
      <w:r>
        <w:rPr>
          <w:b/>
          <w:sz w:val="24"/>
        </w:rPr>
        <w:t>月</w:t>
      </w:r>
      <w:r>
        <w:rPr>
          <w:rFonts w:hint="eastAsia"/>
          <w:b/>
          <w:sz w:val="24"/>
        </w:rPr>
        <w:t>2</w:t>
      </w:r>
      <w:r>
        <w:rPr>
          <w:rFonts w:hint="eastAsia"/>
          <w:b/>
          <w:sz w:val="24"/>
          <w:lang w:val="en-US" w:eastAsia="zh-CN"/>
        </w:rPr>
        <w:t>6</w:t>
      </w:r>
      <w:r>
        <w:rPr>
          <w:b/>
          <w:sz w:val="24"/>
        </w:rPr>
        <w:t>日</w:t>
      </w:r>
    </w:p>
    <w:p>
      <w:pPr>
        <w:spacing w:before="156" w:after="156" w:line="360" w:lineRule="exact"/>
        <w:rPr>
          <w:sz w:val="22"/>
          <w:szCs w:val="22"/>
        </w:rPr>
        <w:sectPr>
          <w:headerReference r:id="rId3" w:type="first"/>
          <w:footerReference r:id="rId5" w:type="first"/>
          <w:footerReference r:id="rId4" w:type="default"/>
          <w:pgSz w:w="11909" w:h="16834"/>
          <w:pgMar w:top="1440" w:right="1800" w:bottom="1440" w:left="1800" w:header="851" w:footer="851" w:gutter="0"/>
          <w:cols w:space="720" w:num="1"/>
          <w:formProt w:val="0"/>
          <w:titlePg/>
          <w:docGrid w:type="lines" w:linePitch="312" w:charSpace="0"/>
        </w:sectPr>
      </w:pPr>
    </w:p>
    <w:p>
      <w:pPr>
        <w:spacing w:line="500" w:lineRule="exact"/>
        <w:ind w:right="482"/>
        <w:jc w:val="left"/>
        <w:rPr>
          <w:b/>
          <w:sz w:val="24"/>
        </w:rPr>
      </w:pPr>
      <w:r>
        <w:rPr>
          <w:b/>
          <w:sz w:val="24"/>
        </w:rPr>
        <w:t>附表1：募集资金使用情况对照表</w:t>
      </w:r>
    </w:p>
    <w:p>
      <w:pPr>
        <w:jc w:val="right"/>
      </w:pPr>
      <w:r>
        <w:rPr>
          <w:b/>
          <w:kern w:val="0"/>
          <w:sz w:val="22"/>
          <w:szCs w:val="22"/>
        </w:rPr>
        <w:t xml:space="preserve">                                                                                                                  </w:t>
      </w:r>
      <w:r>
        <w:t>单位：万元</w:t>
      </w:r>
    </w:p>
    <w:tbl>
      <w:tblPr>
        <w:tblStyle w:val="9"/>
        <w:tblW w:w="5099" w:type="pct"/>
        <w:jc w:val="right"/>
        <w:tblLayout w:type="autofit"/>
        <w:tblCellMar>
          <w:top w:w="0" w:type="dxa"/>
          <w:left w:w="28" w:type="dxa"/>
          <w:bottom w:w="0" w:type="dxa"/>
          <w:right w:w="28" w:type="dxa"/>
        </w:tblCellMar>
      </w:tblPr>
      <w:tblGrid>
        <w:gridCol w:w="3627"/>
        <w:gridCol w:w="980"/>
        <w:gridCol w:w="1223"/>
        <w:gridCol w:w="1214"/>
        <w:gridCol w:w="1132"/>
        <w:gridCol w:w="1264"/>
        <w:gridCol w:w="2178"/>
        <w:gridCol w:w="1258"/>
        <w:gridCol w:w="1078"/>
        <w:gridCol w:w="668"/>
        <w:gridCol w:w="1138"/>
      </w:tblGrid>
      <w:tr>
        <w:tblPrEx>
          <w:tblCellMar>
            <w:top w:w="0" w:type="dxa"/>
            <w:left w:w="28" w:type="dxa"/>
            <w:bottom w:w="0" w:type="dxa"/>
            <w:right w:w="28" w:type="dxa"/>
          </w:tblCellMar>
        </w:tblPrEx>
        <w:trPr>
          <w:trHeight w:val="397" w:hRule="atLeast"/>
          <w:jc w:val="right"/>
        </w:trPr>
        <w:tc>
          <w:tcPr>
            <w:tcW w:w="1850" w:type="pct"/>
            <w:gridSpan w:val="3"/>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募集资金总额</w:t>
            </w:r>
          </w:p>
        </w:tc>
        <w:tc>
          <w:tcPr>
            <w:tcW w:w="1145"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00" w:lineRule="atLeast"/>
              <w:ind w:left="-10" w:leftChars="-5" w:right="-10" w:rightChars="-5"/>
              <w:jc w:val="right"/>
              <w:rPr>
                <w:sz w:val="18"/>
                <w:szCs w:val="18"/>
              </w:rPr>
            </w:pPr>
            <w:r>
              <w:rPr>
                <w:sz w:val="18"/>
                <w:szCs w:val="18"/>
              </w:rPr>
              <w:t>275,513.57</w:t>
            </w:r>
          </w:p>
        </w:tc>
        <w:tc>
          <w:tcPr>
            <w:tcW w:w="69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本年度投入募集资金总额</w:t>
            </w:r>
          </w:p>
        </w:tc>
        <w:tc>
          <w:tcPr>
            <w:tcW w:w="1314" w:type="pct"/>
            <w:gridSpan w:val="4"/>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4</w:t>
            </w:r>
            <w:r>
              <w:rPr>
                <w:rFonts w:hint="eastAsia" w:ascii="Times New Roman" w:hAnsi="Times New Roman" w:cs="Times New Roman"/>
                <w:kern w:val="24"/>
                <w:sz w:val="18"/>
                <w:szCs w:val="18"/>
              </w:rPr>
              <w:t>,</w:t>
            </w:r>
            <w:r>
              <w:rPr>
                <w:rFonts w:ascii="Times New Roman" w:hAnsi="Times New Roman" w:cs="Times New Roman"/>
                <w:kern w:val="24"/>
                <w:sz w:val="18"/>
                <w:szCs w:val="18"/>
              </w:rPr>
              <w:t>246.74</w:t>
            </w:r>
          </w:p>
        </w:tc>
      </w:tr>
      <w:tr>
        <w:tblPrEx>
          <w:tblCellMar>
            <w:top w:w="0" w:type="dxa"/>
            <w:left w:w="28" w:type="dxa"/>
            <w:bottom w:w="0" w:type="dxa"/>
            <w:right w:w="28" w:type="dxa"/>
          </w:tblCellMar>
        </w:tblPrEx>
        <w:trPr>
          <w:cantSplit/>
          <w:trHeight w:val="397" w:hRule="atLeast"/>
          <w:jc w:val="right"/>
        </w:trPr>
        <w:tc>
          <w:tcPr>
            <w:tcW w:w="1850" w:type="pct"/>
            <w:gridSpan w:val="3"/>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报告期内变更用途的募集资金总额</w:t>
            </w:r>
          </w:p>
        </w:tc>
        <w:tc>
          <w:tcPr>
            <w:tcW w:w="1145"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00" w:lineRule="atLeast"/>
              <w:ind w:left="-10" w:leftChars="-5" w:right="-10" w:rightChars="-5"/>
              <w:jc w:val="right"/>
              <w:rPr>
                <w:sz w:val="18"/>
                <w:szCs w:val="18"/>
              </w:rPr>
            </w:pPr>
            <w:r>
              <w:rPr>
                <w:rFonts w:hint="eastAsia"/>
                <w:sz w:val="18"/>
                <w:szCs w:val="18"/>
              </w:rPr>
              <w:t>0</w:t>
            </w:r>
          </w:p>
        </w:tc>
        <w:tc>
          <w:tcPr>
            <w:tcW w:w="691" w:type="pct"/>
            <w:vMerge w:val="restar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已累计投入募集资金总额</w:t>
            </w:r>
          </w:p>
        </w:tc>
        <w:tc>
          <w:tcPr>
            <w:tcW w:w="1314" w:type="pct"/>
            <w:gridSpan w:val="4"/>
            <w:vMerge w:val="restart"/>
            <w:tcBorders>
              <w:top w:val="single" w:color="auto" w:sz="4" w:space="0"/>
              <w:left w:val="single" w:color="auto" w:sz="4" w:space="0"/>
              <w:right w:val="single" w:color="auto" w:sz="4" w:space="0"/>
            </w:tcBorders>
            <w:vAlign w:val="center"/>
          </w:tcPr>
          <w:p>
            <w:pPr>
              <w:snapToGrid w:val="0"/>
              <w:spacing w:line="200" w:lineRule="atLeast"/>
              <w:ind w:left="-10" w:leftChars="-5" w:right="-10" w:rightChars="-5"/>
              <w:jc w:val="right"/>
              <w:rPr>
                <w:sz w:val="18"/>
                <w:szCs w:val="18"/>
              </w:rPr>
            </w:pPr>
            <w:r>
              <w:rPr>
                <w:kern w:val="24"/>
                <w:sz w:val="18"/>
                <w:szCs w:val="18"/>
              </w:rPr>
              <w:t>143,728.62</w:t>
            </w:r>
            <w:r>
              <w:rPr>
                <w:sz w:val="18"/>
                <w:szCs w:val="18"/>
              </w:rPr>
              <w:t>（不含2019年度永久性补充流动资金100,534.00万元）</w:t>
            </w:r>
          </w:p>
        </w:tc>
      </w:tr>
      <w:tr>
        <w:tblPrEx>
          <w:tblCellMar>
            <w:top w:w="0" w:type="dxa"/>
            <w:left w:w="28" w:type="dxa"/>
            <w:bottom w:w="0" w:type="dxa"/>
            <w:right w:w="28" w:type="dxa"/>
          </w:tblCellMar>
        </w:tblPrEx>
        <w:trPr>
          <w:cantSplit/>
          <w:trHeight w:val="397" w:hRule="atLeast"/>
          <w:jc w:val="right"/>
        </w:trPr>
        <w:tc>
          <w:tcPr>
            <w:tcW w:w="1850" w:type="pct"/>
            <w:gridSpan w:val="3"/>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累计变更用途的募集资金总额</w:t>
            </w:r>
          </w:p>
        </w:tc>
        <w:tc>
          <w:tcPr>
            <w:tcW w:w="1145" w:type="pct"/>
            <w:gridSpan w:val="3"/>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right"/>
              <w:rPr>
                <w:sz w:val="18"/>
                <w:szCs w:val="18"/>
              </w:rPr>
            </w:pPr>
            <w:r>
              <w:rPr>
                <w:sz w:val="18"/>
                <w:szCs w:val="18"/>
              </w:rPr>
              <w:t>86,997.56</w:t>
            </w:r>
          </w:p>
        </w:tc>
        <w:tc>
          <w:tcPr>
            <w:tcW w:w="691" w:type="pct"/>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00" w:lineRule="atLeast"/>
              <w:ind w:left="-10" w:leftChars="-5" w:right="-10" w:rightChars="-5"/>
              <w:jc w:val="left"/>
              <w:rPr>
                <w:sz w:val="18"/>
                <w:szCs w:val="18"/>
              </w:rPr>
            </w:pPr>
          </w:p>
        </w:tc>
        <w:tc>
          <w:tcPr>
            <w:tcW w:w="1314" w:type="pct"/>
            <w:gridSpan w:val="4"/>
            <w:vMerge w:val="continue"/>
            <w:tcBorders>
              <w:left w:val="single" w:color="auto" w:sz="4" w:space="0"/>
              <w:right w:val="single" w:color="auto" w:sz="4" w:space="0"/>
            </w:tcBorders>
            <w:vAlign w:val="center"/>
          </w:tcPr>
          <w:p>
            <w:pPr>
              <w:widowControl/>
              <w:snapToGrid w:val="0"/>
              <w:spacing w:line="200" w:lineRule="atLeast"/>
              <w:ind w:left="-10" w:leftChars="-5" w:right="-10" w:rightChars="-5"/>
              <w:jc w:val="right"/>
              <w:rPr>
                <w:sz w:val="18"/>
                <w:szCs w:val="18"/>
              </w:rPr>
            </w:pPr>
          </w:p>
        </w:tc>
      </w:tr>
      <w:tr>
        <w:tblPrEx>
          <w:tblCellMar>
            <w:top w:w="0" w:type="dxa"/>
            <w:left w:w="28" w:type="dxa"/>
            <w:bottom w:w="0" w:type="dxa"/>
            <w:right w:w="28" w:type="dxa"/>
          </w:tblCellMar>
        </w:tblPrEx>
        <w:trPr>
          <w:cantSplit/>
          <w:trHeight w:val="397" w:hRule="atLeast"/>
          <w:jc w:val="right"/>
        </w:trPr>
        <w:tc>
          <w:tcPr>
            <w:tcW w:w="1850" w:type="pct"/>
            <w:gridSpan w:val="3"/>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累计变更用途的募集资金总额比例</w:t>
            </w:r>
          </w:p>
        </w:tc>
        <w:tc>
          <w:tcPr>
            <w:tcW w:w="1145" w:type="pct"/>
            <w:gridSpan w:val="3"/>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right"/>
              <w:rPr>
                <w:sz w:val="18"/>
                <w:szCs w:val="18"/>
              </w:rPr>
            </w:pPr>
            <w:r>
              <w:rPr>
                <w:sz w:val="18"/>
                <w:szCs w:val="18"/>
              </w:rPr>
              <w:t>31.58%</w:t>
            </w:r>
          </w:p>
        </w:tc>
        <w:tc>
          <w:tcPr>
            <w:tcW w:w="691" w:type="pct"/>
            <w:vMerge w:val="continue"/>
            <w:tcBorders>
              <w:top w:val="single" w:color="auto" w:sz="4" w:space="0"/>
              <w:left w:val="single" w:color="auto" w:sz="4" w:space="0"/>
              <w:bottom w:val="single" w:color="auto" w:sz="4" w:space="0"/>
              <w:right w:val="single" w:color="auto" w:sz="4" w:space="0"/>
            </w:tcBorders>
            <w:vAlign w:val="center"/>
          </w:tcPr>
          <w:p>
            <w:pPr>
              <w:widowControl/>
              <w:snapToGrid w:val="0"/>
              <w:spacing w:line="200" w:lineRule="atLeast"/>
              <w:ind w:left="-10" w:leftChars="-5" w:right="-10" w:rightChars="-5"/>
              <w:jc w:val="left"/>
              <w:rPr>
                <w:sz w:val="18"/>
                <w:szCs w:val="18"/>
              </w:rPr>
            </w:pPr>
          </w:p>
        </w:tc>
        <w:tc>
          <w:tcPr>
            <w:tcW w:w="1314" w:type="pct"/>
            <w:gridSpan w:val="4"/>
            <w:vMerge w:val="continue"/>
            <w:tcBorders>
              <w:left w:val="single" w:color="auto" w:sz="4" w:space="0"/>
              <w:bottom w:val="single" w:color="auto" w:sz="4" w:space="0"/>
              <w:right w:val="single" w:color="auto" w:sz="4" w:space="0"/>
            </w:tcBorders>
            <w:vAlign w:val="center"/>
          </w:tcPr>
          <w:p>
            <w:pPr>
              <w:snapToGrid w:val="0"/>
              <w:spacing w:line="200" w:lineRule="atLeast"/>
              <w:ind w:left="-10" w:leftChars="-5" w:right="-10" w:rightChars="-5"/>
              <w:jc w:val="right"/>
              <w:rPr>
                <w:sz w:val="18"/>
                <w:szCs w:val="18"/>
              </w:rPr>
            </w:pP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承诺投资项目和超募资金投向</w:t>
            </w:r>
          </w:p>
        </w:tc>
        <w:tc>
          <w:tcPr>
            <w:tcW w:w="31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是否已变更项目（含部分变更）</w:t>
            </w:r>
          </w:p>
        </w:tc>
        <w:tc>
          <w:tcPr>
            <w:tcW w:w="388"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募集资金承诺投资总额</w:t>
            </w:r>
          </w:p>
        </w:tc>
        <w:tc>
          <w:tcPr>
            <w:tcW w:w="385"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调整后投资总额（1）</w:t>
            </w:r>
          </w:p>
        </w:tc>
        <w:tc>
          <w:tcPr>
            <w:tcW w:w="359"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本年度投入金额</w:t>
            </w:r>
          </w:p>
        </w:tc>
        <w:tc>
          <w:tcPr>
            <w:tcW w:w="40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截至期末累计投入金额（2）</w:t>
            </w:r>
          </w:p>
        </w:tc>
        <w:tc>
          <w:tcPr>
            <w:tcW w:w="69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截至期末投资进度（%）（3）＝（2）/（1）</w:t>
            </w:r>
          </w:p>
        </w:tc>
        <w:tc>
          <w:tcPr>
            <w:tcW w:w="399"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项目达到预定可使用状态日期</w:t>
            </w:r>
          </w:p>
        </w:tc>
        <w:tc>
          <w:tcPr>
            <w:tcW w:w="342"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jc w:val="right"/>
              <w:rPr>
                <w:sz w:val="18"/>
                <w:szCs w:val="18"/>
              </w:rPr>
            </w:pPr>
            <w:r>
              <w:rPr>
                <w:sz w:val="18"/>
                <w:szCs w:val="18"/>
              </w:rPr>
              <w:t>本年度实现的效益</w:t>
            </w:r>
          </w:p>
        </w:tc>
        <w:tc>
          <w:tcPr>
            <w:tcW w:w="212"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是否达到预计效益</w:t>
            </w:r>
          </w:p>
        </w:tc>
        <w:tc>
          <w:tcPr>
            <w:tcW w:w="36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项目可行性是否发生重大变化</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承诺投资项目</w:t>
            </w:r>
          </w:p>
        </w:tc>
        <w:tc>
          <w:tcPr>
            <w:tcW w:w="3849" w:type="pct"/>
            <w:gridSpan w:val="10"/>
            <w:tcBorders>
              <w:top w:val="single" w:color="auto" w:sz="4" w:space="0"/>
              <w:left w:val="single" w:color="auto" w:sz="4" w:space="0"/>
              <w:bottom w:val="single" w:color="auto" w:sz="4" w:space="0"/>
              <w:right w:val="single" w:color="auto" w:sz="4" w:space="0"/>
            </w:tcBorders>
          </w:tcPr>
          <w:p>
            <w:pPr>
              <w:snapToGrid w:val="0"/>
              <w:spacing w:line="200" w:lineRule="atLeast"/>
              <w:ind w:left="-10" w:leftChars="-5" w:right="-10" w:rightChars="-5"/>
              <w:jc w:val="right"/>
              <w:rPr>
                <w:sz w:val="18"/>
                <w:szCs w:val="18"/>
              </w:rPr>
            </w:pP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1、</w:t>
            </w:r>
            <w:r>
              <w:rPr>
                <w:kern w:val="0"/>
                <w:sz w:val="18"/>
                <w:szCs w:val="18"/>
              </w:rPr>
              <w:t>技术研究开发中心扩建项目</w:t>
            </w:r>
          </w:p>
        </w:tc>
        <w:tc>
          <w:tcPr>
            <w:tcW w:w="31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center"/>
              <w:rPr>
                <w:sz w:val="18"/>
                <w:szCs w:val="18"/>
              </w:rPr>
            </w:pPr>
            <w:r>
              <w:rPr>
                <w:sz w:val="18"/>
                <w:szCs w:val="18"/>
              </w:rPr>
              <w:t>是</w:t>
            </w:r>
          </w:p>
        </w:tc>
        <w:tc>
          <w:tcPr>
            <w:tcW w:w="388"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11,032.00</w:t>
            </w:r>
          </w:p>
        </w:tc>
        <w:tc>
          <w:tcPr>
            <w:tcW w:w="385"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4,472.71</w:t>
            </w:r>
          </w:p>
        </w:tc>
        <w:tc>
          <w:tcPr>
            <w:tcW w:w="35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3,877.39</w:t>
            </w:r>
          </w:p>
        </w:tc>
        <w:tc>
          <w:tcPr>
            <w:tcW w:w="69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86.69%</w:t>
            </w:r>
            <w:r>
              <w:rPr>
                <w:rFonts w:hint="eastAsia" w:ascii="Times New Roman" w:hAnsi="Times New Roman" w:cs="Times New Roman"/>
                <w:kern w:val="24"/>
                <w:sz w:val="18"/>
                <w:szCs w:val="18"/>
              </w:rPr>
              <w:t>（已结项）</w:t>
            </w:r>
          </w:p>
        </w:tc>
        <w:tc>
          <w:tcPr>
            <w:tcW w:w="39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2019/6/30</w:t>
            </w:r>
          </w:p>
        </w:tc>
        <w:tc>
          <w:tcPr>
            <w:tcW w:w="342"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highlight w:val="none"/>
              </w:rPr>
            </w:pPr>
            <w:r>
              <w:rPr>
                <w:rFonts w:hint="eastAsia"/>
                <w:kern w:val="24"/>
                <w:sz w:val="18"/>
                <w:szCs w:val="18"/>
                <w:highlight w:val="none"/>
              </w:rPr>
              <w:t>不适用</w:t>
            </w:r>
          </w:p>
        </w:tc>
        <w:tc>
          <w:tcPr>
            <w:tcW w:w="212"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rPr>
            </w:pPr>
            <w:r>
              <w:rPr>
                <w:rFonts w:hint="eastAsia"/>
                <w:kern w:val="24"/>
                <w:sz w:val="18"/>
                <w:szCs w:val="18"/>
              </w:rPr>
              <w:t>不适用</w:t>
            </w:r>
          </w:p>
        </w:tc>
        <w:tc>
          <w:tcPr>
            <w:tcW w:w="36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sz w:val="18"/>
                <w:szCs w:val="18"/>
              </w:rPr>
              <w:t>是</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kern w:val="0"/>
                <w:sz w:val="18"/>
                <w:szCs w:val="18"/>
              </w:rPr>
              <w:t>2、年产2.4万吨长玻纤增强聚丙烯车用结构材料（LFT）生产建设项目</w:t>
            </w:r>
          </w:p>
        </w:tc>
        <w:tc>
          <w:tcPr>
            <w:tcW w:w="31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jc w:val="center"/>
              <w:rPr>
                <w:sz w:val="18"/>
                <w:szCs w:val="18"/>
              </w:rPr>
            </w:pPr>
            <w:r>
              <w:rPr>
                <w:sz w:val="18"/>
                <w:szCs w:val="18"/>
              </w:rPr>
              <w:t>是</w:t>
            </w:r>
          </w:p>
        </w:tc>
        <w:tc>
          <w:tcPr>
            <w:tcW w:w="388"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16,128.00</w:t>
            </w:r>
          </w:p>
        </w:tc>
        <w:tc>
          <w:tcPr>
            <w:tcW w:w="385"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11,001.22</w:t>
            </w:r>
          </w:p>
        </w:tc>
        <w:tc>
          <w:tcPr>
            <w:tcW w:w="35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9,084.03</w:t>
            </w:r>
          </w:p>
        </w:tc>
        <w:tc>
          <w:tcPr>
            <w:tcW w:w="69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82.57%</w:t>
            </w:r>
            <w:r>
              <w:rPr>
                <w:rFonts w:hint="eastAsia" w:ascii="Times New Roman" w:hAnsi="Times New Roman" w:cs="Times New Roman"/>
                <w:kern w:val="24"/>
                <w:sz w:val="18"/>
                <w:szCs w:val="18"/>
              </w:rPr>
              <w:t>（已结项）</w:t>
            </w:r>
          </w:p>
        </w:tc>
        <w:tc>
          <w:tcPr>
            <w:tcW w:w="39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2018/12/31</w:t>
            </w:r>
          </w:p>
        </w:tc>
        <w:tc>
          <w:tcPr>
            <w:tcW w:w="342" w:type="pct"/>
            <w:tcBorders>
              <w:top w:val="single" w:color="auto" w:sz="4" w:space="0"/>
              <w:left w:val="single" w:color="auto" w:sz="4" w:space="0"/>
              <w:bottom w:val="single" w:color="auto" w:sz="4" w:space="0"/>
              <w:right w:val="single" w:color="auto" w:sz="4" w:space="0"/>
            </w:tcBorders>
            <w:vAlign w:val="center"/>
          </w:tcPr>
          <w:p>
            <w:pPr>
              <w:jc w:val="right"/>
              <w:rPr>
                <w:rFonts w:hint="default" w:eastAsia="宋体"/>
                <w:kern w:val="24"/>
                <w:sz w:val="18"/>
                <w:szCs w:val="18"/>
                <w:highlight w:val="none"/>
                <w:lang w:val="en-US" w:eastAsia="zh-CN"/>
              </w:rPr>
            </w:pPr>
            <w:r>
              <w:rPr>
                <w:rFonts w:hint="eastAsia"/>
                <w:kern w:val="24"/>
                <w:sz w:val="18"/>
                <w:szCs w:val="18"/>
                <w:highlight w:val="none"/>
                <w:lang w:val="en-US" w:eastAsia="zh-CN"/>
              </w:rPr>
              <w:t>657.13</w:t>
            </w:r>
          </w:p>
        </w:tc>
        <w:tc>
          <w:tcPr>
            <w:tcW w:w="212"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rPr>
            </w:pPr>
            <w:r>
              <w:rPr>
                <w:rFonts w:hint="eastAsia"/>
                <w:kern w:val="24"/>
                <w:sz w:val="18"/>
                <w:szCs w:val="18"/>
              </w:rPr>
              <w:t>不适用</w:t>
            </w:r>
          </w:p>
        </w:tc>
        <w:tc>
          <w:tcPr>
            <w:tcW w:w="36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sz w:val="18"/>
                <w:szCs w:val="18"/>
              </w:rPr>
              <w:t>是</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kern w:val="0"/>
                <w:sz w:val="18"/>
                <w:szCs w:val="18"/>
              </w:rPr>
              <w:t>3、年产6.6万吨高性能改性尼龙（PA）生产建设项目</w:t>
            </w:r>
          </w:p>
        </w:tc>
        <w:tc>
          <w:tcPr>
            <w:tcW w:w="31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jc w:val="center"/>
              <w:rPr>
                <w:sz w:val="18"/>
                <w:szCs w:val="18"/>
              </w:rPr>
            </w:pPr>
            <w:r>
              <w:rPr>
                <w:sz w:val="18"/>
                <w:szCs w:val="18"/>
              </w:rPr>
              <w:t>是</w:t>
            </w:r>
          </w:p>
        </w:tc>
        <w:tc>
          <w:tcPr>
            <w:tcW w:w="388"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36,860.00</w:t>
            </w:r>
          </w:p>
        </w:tc>
        <w:tc>
          <w:tcPr>
            <w:tcW w:w="385"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18,419.67</w:t>
            </w:r>
          </w:p>
        </w:tc>
        <w:tc>
          <w:tcPr>
            <w:tcW w:w="35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15,951.35</w:t>
            </w:r>
          </w:p>
        </w:tc>
        <w:tc>
          <w:tcPr>
            <w:tcW w:w="69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86.60%</w:t>
            </w:r>
            <w:r>
              <w:rPr>
                <w:rFonts w:hint="eastAsia" w:ascii="Times New Roman" w:hAnsi="Times New Roman" w:cs="Times New Roman"/>
                <w:kern w:val="24"/>
                <w:sz w:val="18"/>
                <w:szCs w:val="18"/>
              </w:rPr>
              <w:t>（已结项）</w:t>
            </w:r>
          </w:p>
        </w:tc>
        <w:tc>
          <w:tcPr>
            <w:tcW w:w="39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2018/12/31</w:t>
            </w:r>
          </w:p>
        </w:tc>
        <w:tc>
          <w:tcPr>
            <w:tcW w:w="342" w:type="pct"/>
            <w:tcBorders>
              <w:top w:val="single" w:color="auto" w:sz="4" w:space="0"/>
              <w:left w:val="single" w:color="auto" w:sz="4" w:space="0"/>
              <w:bottom w:val="single" w:color="auto" w:sz="4" w:space="0"/>
              <w:right w:val="single" w:color="auto" w:sz="4" w:space="0"/>
            </w:tcBorders>
            <w:vAlign w:val="center"/>
          </w:tcPr>
          <w:p>
            <w:pPr>
              <w:jc w:val="right"/>
              <w:rPr>
                <w:rFonts w:hint="default" w:eastAsia="宋体"/>
                <w:kern w:val="24"/>
                <w:sz w:val="18"/>
                <w:szCs w:val="18"/>
                <w:highlight w:val="none"/>
                <w:lang w:val="en-US" w:eastAsia="zh-CN"/>
              </w:rPr>
            </w:pPr>
            <w:r>
              <w:rPr>
                <w:rFonts w:hint="eastAsia"/>
                <w:kern w:val="24"/>
                <w:sz w:val="18"/>
                <w:szCs w:val="18"/>
                <w:highlight w:val="none"/>
                <w:lang w:val="en-US" w:eastAsia="zh-CN"/>
              </w:rPr>
              <w:t>593.36</w:t>
            </w:r>
          </w:p>
        </w:tc>
        <w:tc>
          <w:tcPr>
            <w:tcW w:w="212"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rPr>
            </w:pPr>
            <w:r>
              <w:rPr>
                <w:rFonts w:hint="eastAsia"/>
                <w:kern w:val="24"/>
                <w:sz w:val="18"/>
                <w:szCs w:val="18"/>
              </w:rPr>
              <w:t>不适用</w:t>
            </w:r>
          </w:p>
        </w:tc>
        <w:tc>
          <w:tcPr>
            <w:tcW w:w="36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sz w:val="18"/>
                <w:szCs w:val="18"/>
              </w:rPr>
              <w:t>是</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kern w:val="0"/>
                <w:sz w:val="18"/>
                <w:szCs w:val="18"/>
              </w:rPr>
              <w:t>4、年产3万吨高性能改性聚碳酸脂（PC）生产建设项目</w:t>
            </w:r>
          </w:p>
        </w:tc>
        <w:tc>
          <w:tcPr>
            <w:tcW w:w="31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jc w:val="center"/>
              <w:rPr>
                <w:sz w:val="18"/>
                <w:szCs w:val="18"/>
              </w:rPr>
            </w:pPr>
            <w:r>
              <w:rPr>
                <w:sz w:val="18"/>
                <w:szCs w:val="18"/>
              </w:rPr>
              <w:t>是</w:t>
            </w:r>
          </w:p>
        </w:tc>
        <w:tc>
          <w:tcPr>
            <w:tcW w:w="388"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16,414.00</w:t>
            </w:r>
          </w:p>
        </w:tc>
        <w:tc>
          <w:tcPr>
            <w:tcW w:w="385"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7,848.76</w:t>
            </w:r>
          </w:p>
        </w:tc>
        <w:tc>
          <w:tcPr>
            <w:tcW w:w="35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6,713.71</w:t>
            </w:r>
          </w:p>
        </w:tc>
        <w:tc>
          <w:tcPr>
            <w:tcW w:w="69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85.54%</w:t>
            </w:r>
            <w:r>
              <w:rPr>
                <w:rFonts w:hint="eastAsia" w:ascii="Times New Roman" w:hAnsi="Times New Roman" w:cs="Times New Roman"/>
                <w:kern w:val="24"/>
                <w:sz w:val="18"/>
                <w:szCs w:val="18"/>
              </w:rPr>
              <w:t>（已结项）</w:t>
            </w:r>
          </w:p>
        </w:tc>
        <w:tc>
          <w:tcPr>
            <w:tcW w:w="39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2018/12/31</w:t>
            </w:r>
          </w:p>
        </w:tc>
        <w:tc>
          <w:tcPr>
            <w:tcW w:w="342" w:type="pct"/>
            <w:tcBorders>
              <w:top w:val="single" w:color="auto" w:sz="4" w:space="0"/>
              <w:left w:val="single" w:color="auto" w:sz="4" w:space="0"/>
              <w:bottom w:val="single" w:color="auto" w:sz="4" w:space="0"/>
              <w:right w:val="single" w:color="auto" w:sz="4" w:space="0"/>
            </w:tcBorders>
            <w:vAlign w:val="center"/>
          </w:tcPr>
          <w:p>
            <w:pPr>
              <w:jc w:val="right"/>
              <w:rPr>
                <w:rFonts w:hint="default" w:eastAsia="宋体"/>
                <w:kern w:val="24"/>
                <w:sz w:val="18"/>
                <w:szCs w:val="18"/>
                <w:highlight w:val="none"/>
                <w:lang w:val="en-US" w:eastAsia="zh-CN"/>
              </w:rPr>
            </w:pPr>
            <w:r>
              <w:rPr>
                <w:rFonts w:hint="eastAsia"/>
                <w:kern w:val="24"/>
                <w:sz w:val="18"/>
                <w:szCs w:val="18"/>
                <w:highlight w:val="none"/>
                <w:lang w:val="en-US" w:eastAsia="zh-CN"/>
              </w:rPr>
              <w:t>375.04</w:t>
            </w:r>
          </w:p>
        </w:tc>
        <w:tc>
          <w:tcPr>
            <w:tcW w:w="212"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rPr>
            </w:pPr>
            <w:r>
              <w:rPr>
                <w:rFonts w:hint="eastAsia"/>
                <w:kern w:val="24"/>
                <w:sz w:val="18"/>
                <w:szCs w:val="18"/>
              </w:rPr>
              <w:t>不适用</w:t>
            </w:r>
          </w:p>
        </w:tc>
        <w:tc>
          <w:tcPr>
            <w:tcW w:w="36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sz w:val="18"/>
                <w:szCs w:val="18"/>
              </w:rPr>
              <w:t>是</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kern w:val="0"/>
                <w:sz w:val="18"/>
                <w:szCs w:val="18"/>
              </w:rPr>
              <w:t>5、13.485万吨高聚物材料新建项目</w:t>
            </w:r>
          </w:p>
        </w:tc>
        <w:tc>
          <w:tcPr>
            <w:tcW w:w="31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jc w:val="center"/>
              <w:rPr>
                <w:sz w:val="18"/>
                <w:szCs w:val="18"/>
              </w:rPr>
            </w:pPr>
            <w:r>
              <w:rPr>
                <w:sz w:val="18"/>
                <w:szCs w:val="18"/>
              </w:rPr>
              <w:t>是</w:t>
            </w:r>
          </w:p>
        </w:tc>
        <w:tc>
          <w:tcPr>
            <w:tcW w:w="388"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53,076.70</w:t>
            </w:r>
          </w:p>
        </w:tc>
        <w:tc>
          <w:tcPr>
            <w:tcW w:w="385"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34,165.17</w:t>
            </w:r>
          </w:p>
        </w:tc>
        <w:tc>
          <w:tcPr>
            <w:tcW w:w="35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31,326.45</w:t>
            </w:r>
          </w:p>
        </w:tc>
        <w:tc>
          <w:tcPr>
            <w:tcW w:w="69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91.69%</w:t>
            </w:r>
            <w:r>
              <w:rPr>
                <w:rFonts w:hint="eastAsia" w:ascii="Times New Roman" w:hAnsi="Times New Roman" w:cs="Times New Roman"/>
                <w:kern w:val="24"/>
                <w:sz w:val="18"/>
                <w:szCs w:val="18"/>
              </w:rPr>
              <w:t>（已结项）</w:t>
            </w:r>
          </w:p>
        </w:tc>
        <w:tc>
          <w:tcPr>
            <w:tcW w:w="39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2019/12/31</w:t>
            </w:r>
          </w:p>
        </w:tc>
        <w:tc>
          <w:tcPr>
            <w:tcW w:w="342" w:type="pct"/>
            <w:tcBorders>
              <w:top w:val="single" w:color="auto" w:sz="4" w:space="0"/>
              <w:left w:val="single" w:color="auto" w:sz="4" w:space="0"/>
              <w:bottom w:val="single" w:color="auto" w:sz="4" w:space="0"/>
              <w:right w:val="single" w:color="auto" w:sz="4" w:space="0"/>
            </w:tcBorders>
            <w:vAlign w:val="center"/>
          </w:tcPr>
          <w:p>
            <w:pPr>
              <w:jc w:val="right"/>
              <w:rPr>
                <w:rFonts w:hint="default" w:eastAsia="宋体"/>
                <w:kern w:val="24"/>
                <w:sz w:val="18"/>
                <w:szCs w:val="18"/>
                <w:highlight w:val="none"/>
                <w:lang w:val="en-US" w:eastAsia="zh-CN"/>
              </w:rPr>
            </w:pPr>
            <w:r>
              <w:rPr>
                <w:rFonts w:hint="eastAsia"/>
                <w:kern w:val="24"/>
                <w:sz w:val="18"/>
                <w:szCs w:val="18"/>
                <w:highlight w:val="none"/>
                <w:lang w:val="en-US" w:eastAsia="zh-CN"/>
              </w:rPr>
              <w:t>316.13</w:t>
            </w:r>
          </w:p>
        </w:tc>
        <w:tc>
          <w:tcPr>
            <w:tcW w:w="212"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rPr>
            </w:pPr>
            <w:r>
              <w:rPr>
                <w:rFonts w:hint="eastAsia"/>
                <w:kern w:val="24"/>
                <w:sz w:val="18"/>
                <w:szCs w:val="18"/>
              </w:rPr>
              <w:t>不适用</w:t>
            </w:r>
          </w:p>
        </w:tc>
        <w:tc>
          <w:tcPr>
            <w:tcW w:w="36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sz w:val="18"/>
                <w:szCs w:val="18"/>
              </w:rPr>
              <w:t>是</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kern w:val="0"/>
                <w:sz w:val="18"/>
                <w:szCs w:val="18"/>
              </w:rPr>
              <w:t>6、10万吨高聚物材料新建项目</w:t>
            </w:r>
          </w:p>
        </w:tc>
        <w:tc>
          <w:tcPr>
            <w:tcW w:w="31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center"/>
              <w:rPr>
                <w:sz w:val="18"/>
                <w:szCs w:val="18"/>
              </w:rPr>
            </w:pPr>
            <w:r>
              <w:rPr>
                <w:rFonts w:hint="eastAsia"/>
                <w:sz w:val="18"/>
                <w:szCs w:val="18"/>
              </w:rPr>
              <w:t>是</w:t>
            </w:r>
          </w:p>
        </w:tc>
        <w:tc>
          <w:tcPr>
            <w:tcW w:w="388"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37,142.60</w:t>
            </w:r>
          </w:p>
        </w:tc>
        <w:tc>
          <w:tcPr>
            <w:tcW w:w="385"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hint="eastAsia" w:ascii="Times New Roman" w:hAnsi="Times New Roman" w:cs="Times New Roman"/>
                <w:kern w:val="24"/>
                <w:sz w:val="18"/>
                <w:szCs w:val="18"/>
              </w:rPr>
              <w:t>36,944.36</w:t>
            </w:r>
          </w:p>
        </w:tc>
        <w:tc>
          <w:tcPr>
            <w:tcW w:w="35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 xml:space="preserve"> 4,246.74 </w:t>
            </w: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 xml:space="preserve"> 7,633.12 </w:t>
            </w:r>
          </w:p>
        </w:tc>
        <w:tc>
          <w:tcPr>
            <w:tcW w:w="69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20.66%</w:t>
            </w:r>
          </w:p>
        </w:tc>
        <w:tc>
          <w:tcPr>
            <w:tcW w:w="39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2024/3/31</w:t>
            </w:r>
          </w:p>
        </w:tc>
        <w:tc>
          <w:tcPr>
            <w:tcW w:w="342"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highlight w:val="none"/>
              </w:rPr>
            </w:pPr>
            <w:r>
              <w:rPr>
                <w:rFonts w:hint="eastAsia"/>
                <w:kern w:val="24"/>
                <w:sz w:val="18"/>
                <w:szCs w:val="18"/>
                <w:highlight w:val="none"/>
              </w:rPr>
              <w:t>不适用</w:t>
            </w:r>
          </w:p>
        </w:tc>
        <w:tc>
          <w:tcPr>
            <w:tcW w:w="212"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rPr>
            </w:pPr>
            <w:r>
              <w:rPr>
                <w:rFonts w:hint="eastAsia"/>
                <w:kern w:val="24"/>
                <w:sz w:val="18"/>
                <w:szCs w:val="18"/>
              </w:rPr>
              <w:t>不适用</w:t>
            </w:r>
          </w:p>
        </w:tc>
        <w:tc>
          <w:tcPr>
            <w:tcW w:w="36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hint="eastAsia" w:ascii="Times New Roman" w:hAnsi="Times New Roman" w:cs="Times New Roman"/>
                <w:sz w:val="18"/>
                <w:szCs w:val="18"/>
              </w:rPr>
              <w:t>否</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kern w:val="0"/>
                <w:sz w:val="18"/>
                <w:szCs w:val="18"/>
              </w:rPr>
              <w:t>7、18万吨高聚物材料新建项目</w:t>
            </w:r>
          </w:p>
        </w:tc>
        <w:tc>
          <w:tcPr>
            <w:tcW w:w="31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center"/>
              <w:rPr>
                <w:sz w:val="18"/>
                <w:szCs w:val="18"/>
              </w:rPr>
            </w:pPr>
            <w:r>
              <w:rPr>
                <w:sz w:val="18"/>
                <w:szCs w:val="18"/>
              </w:rPr>
              <w:t>是</w:t>
            </w:r>
          </w:p>
        </w:tc>
        <w:tc>
          <w:tcPr>
            <w:tcW w:w="388"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68,248.40</w:t>
            </w:r>
          </w:p>
        </w:tc>
        <w:tc>
          <w:tcPr>
            <w:tcW w:w="385"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39,052.25</w:t>
            </w:r>
          </w:p>
        </w:tc>
        <w:tc>
          <w:tcPr>
            <w:tcW w:w="35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33,022.57</w:t>
            </w:r>
          </w:p>
        </w:tc>
        <w:tc>
          <w:tcPr>
            <w:tcW w:w="69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84.56%</w:t>
            </w:r>
            <w:r>
              <w:rPr>
                <w:rFonts w:hint="eastAsia" w:ascii="Times New Roman" w:hAnsi="Times New Roman" w:cs="Times New Roman"/>
                <w:kern w:val="24"/>
                <w:sz w:val="18"/>
                <w:szCs w:val="18"/>
              </w:rPr>
              <w:t>（已结项）</w:t>
            </w:r>
          </w:p>
        </w:tc>
        <w:tc>
          <w:tcPr>
            <w:tcW w:w="39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2020/6/30</w:t>
            </w:r>
          </w:p>
        </w:tc>
        <w:tc>
          <w:tcPr>
            <w:tcW w:w="342" w:type="pct"/>
            <w:tcBorders>
              <w:top w:val="single" w:color="auto" w:sz="4" w:space="0"/>
              <w:left w:val="single" w:color="auto" w:sz="4" w:space="0"/>
              <w:bottom w:val="single" w:color="auto" w:sz="4" w:space="0"/>
              <w:right w:val="single" w:color="auto" w:sz="4" w:space="0"/>
            </w:tcBorders>
            <w:vAlign w:val="center"/>
          </w:tcPr>
          <w:p>
            <w:pPr>
              <w:jc w:val="right"/>
              <w:rPr>
                <w:rFonts w:hint="default" w:eastAsia="宋体"/>
                <w:kern w:val="24"/>
                <w:sz w:val="18"/>
                <w:szCs w:val="18"/>
                <w:highlight w:val="none"/>
                <w:lang w:val="en-US" w:eastAsia="zh-CN"/>
              </w:rPr>
            </w:pPr>
            <w:r>
              <w:rPr>
                <w:rFonts w:hint="eastAsia"/>
                <w:kern w:val="24"/>
                <w:sz w:val="18"/>
                <w:szCs w:val="18"/>
                <w:highlight w:val="none"/>
                <w:lang w:val="en-US" w:eastAsia="zh-CN"/>
              </w:rPr>
              <w:t>20.00</w:t>
            </w:r>
          </w:p>
        </w:tc>
        <w:tc>
          <w:tcPr>
            <w:tcW w:w="212"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rPr>
            </w:pPr>
            <w:r>
              <w:rPr>
                <w:rFonts w:hint="eastAsia"/>
                <w:kern w:val="24"/>
                <w:sz w:val="18"/>
                <w:szCs w:val="18"/>
              </w:rPr>
              <w:t>不适用</w:t>
            </w:r>
          </w:p>
        </w:tc>
        <w:tc>
          <w:tcPr>
            <w:tcW w:w="36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是</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kern w:val="0"/>
                <w:sz w:val="18"/>
                <w:szCs w:val="18"/>
              </w:rPr>
              <w:t>8、补充标的公司流动资金</w:t>
            </w:r>
          </w:p>
        </w:tc>
        <w:tc>
          <w:tcPr>
            <w:tcW w:w="31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center"/>
              <w:rPr>
                <w:sz w:val="18"/>
                <w:szCs w:val="18"/>
              </w:rPr>
            </w:pPr>
            <w:r>
              <w:rPr>
                <w:sz w:val="18"/>
                <w:szCs w:val="18"/>
              </w:rPr>
              <w:t>否</w:t>
            </w:r>
          </w:p>
        </w:tc>
        <w:tc>
          <w:tcPr>
            <w:tcW w:w="388"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36,611.87</w:t>
            </w:r>
          </w:p>
        </w:tc>
        <w:tc>
          <w:tcPr>
            <w:tcW w:w="385"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36,611.87</w:t>
            </w:r>
          </w:p>
        </w:tc>
        <w:tc>
          <w:tcPr>
            <w:tcW w:w="35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w:t>
            </w: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36,120.00</w:t>
            </w:r>
          </w:p>
        </w:tc>
        <w:tc>
          <w:tcPr>
            <w:tcW w:w="69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98.66%</w:t>
            </w:r>
            <w:r>
              <w:rPr>
                <w:rFonts w:hint="eastAsia" w:ascii="Times New Roman" w:hAnsi="Times New Roman" w:cs="Times New Roman"/>
                <w:kern w:val="24"/>
                <w:sz w:val="18"/>
                <w:szCs w:val="18"/>
              </w:rPr>
              <w:t>（已结项）</w:t>
            </w:r>
          </w:p>
        </w:tc>
        <w:tc>
          <w:tcPr>
            <w:tcW w:w="399"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w:t>
            </w:r>
          </w:p>
        </w:tc>
        <w:tc>
          <w:tcPr>
            <w:tcW w:w="342"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highlight w:val="none"/>
              </w:rPr>
            </w:pPr>
            <w:r>
              <w:rPr>
                <w:rFonts w:hint="eastAsia"/>
                <w:kern w:val="24"/>
                <w:sz w:val="18"/>
                <w:szCs w:val="18"/>
                <w:highlight w:val="none"/>
              </w:rPr>
              <w:t>不适用</w:t>
            </w:r>
          </w:p>
        </w:tc>
        <w:tc>
          <w:tcPr>
            <w:tcW w:w="212"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rPr>
            </w:pPr>
            <w:r>
              <w:rPr>
                <w:rFonts w:hint="eastAsia"/>
                <w:kern w:val="24"/>
                <w:sz w:val="18"/>
                <w:szCs w:val="18"/>
              </w:rPr>
              <w:t>不适用</w:t>
            </w:r>
          </w:p>
        </w:tc>
        <w:tc>
          <w:tcPr>
            <w:tcW w:w="36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否</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rPr>
                <w:sz w:val="18"/>
                <w:szCs w:val="18"/>
              </w:rPr>
            </w:pPr>
            <w:r>
              <w:rPr>
                <w:sz w:val="18"/>
                <w:szCs w:val="18"/>
              </w:rPr>
              <w:t>承诺投资项目小计</w:t>
            </w:r>
          </w:p>
        </w:tc>
        <w:tc>
          <w:tcPr>
            <w:tcW w:w="311" w:type="pct"/>
            <w:tcBorders>
              <w:top w:val="single" w:color="auto" w:sz="4" w:space="0"/>
              <w:left w:val="single" w:color="auto" w:sz="4" w:space="0"/>
              <w:bottom w:val="single" w:color="auto" w:sz="4" w:space="0"/>
              <w:right w:val="single" w:color="auto" w:sz="4" w:space="0"/>
            </w:tcBorders>
            <w:shd w:val="clear" w:color="auto" w:fill="D9D9D9"/>
            <w:vAlign w:val="center"/>
          </w:tcPr>
          <w:p>
            <w:pPr>
              <w:snapToGrid w:val="0"/>
              <w:spacing w:line="200" w:lineRule="atLeast"/>
              <w:ind w:left="-10" w:leftChars="-5" w:right="-10" w:rightChars="-5"/>
              <w:jc w:val="center"/>
              <w:rPr>
                <w:sz w:val="18"/>
                <w:szCs w:val="18"/>
              </w:rPr>
            </w:pPr>
            <w:r>
              <w:rPr>
                <w:sz w:val="18"/>
                <w:szCs w:val="18"/>
              </w:rPr>
              <w:t>-</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7"/>
              <w:snapToGrid w:val="0"/>
              <w:spacing w:before="0" w:beforeAutospacing="0" w:after="0" w:afterAutospacing="0" w:line="200" w:lineRule="atLeast"/>
              <w:jc w:val="right"/>
              <w:textAlignment w:val="center"/>
              <w:rPr>
                <w:rFonts w:ascii="Times New Roman" w:hAnsi="Times New Roman" w:cs="Times New Roman"/>
                <w:color w:val="000000"/>
                <w:sz w:val="18"/>
                <w:szCs w:val="18"/>
              </w:rPr>
            </w:pPr>
            <w:r>
              <w:rPr>
                <w:rFonts w:ascii="Times New Roman" w:hAnsi="Times New Roman" w:cs="Times New Roman"/>
                <w:bCs/>
                <w:color w:val="000000"/>
                <w:kern w:val="24"/>
                <w:sz w:val="18"/>
                <w:szCs w:val="18"/>
              </w:rPr>
              <w:t>275,513.57</w:t>
            </w:r>
          </w:p>
        </w:tc>
        <w:tc>
          <w:tcPr>
            <w:tcW w:w="38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7"/>
              <w:snapToGrid w:val="0"/>
              <w:spacing w:before="0" w:beforeAutospacing="0" w:after="0" w:afterAutospacing="0" w:line="200" w:lineRule="atLeast"/>
              <w:jc w:val="right"/>
              <w:textAlignment w:val="center"/>
              <w:rPr>
                <w:rFonts w:ascii="Times New Roman" w:hAnsi="Times New Roman" w:cs="Times New Roman"/>
                <w:color w:val="000000"/>
                <w:sz w:val="18"/>
                <w:szCs w:val="18"/>
              </w:rPr>
            </w:pPr>
            <w:r>
              <w:rPr>
                <w:rFonts w:ascii="Times New Roman" w:hAnsi="Times New Roman" w:cs="Times New Roman"/>
                <w:bCs/>
                <w:color w:val="000000"/>
                <w:kern w:val="24"/>
                <w:sz w:val="18"/>
                <w:szCs w:val="18"/>
              </w:rPr>
              <w:t>188,516.01</w:t>
            </w:r>
          </w:p>
        </w:tc>
        <w:tc>
          <w:tcPr>
            <w:tcW w:w="35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4,246.74</w:t>
            </w:r>
          </w:p>
        </w:tc>
        <w:tc>
          <w:tcPr>
            <w:tcW w:w="40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143,728.62</w:t>
            </w:r>
          </w:p>
        </w:tc>
        <w:tc>
          <w:tcPr>
            <w:tcW w:w="691" w:type="pct"/>
            <w:tcBorders>
              <w:top w:val="single" w:color="auto" w:sz="4" w:space="0"/>
              <w:left w:val="single" w:color="auto" w:sz="4" w:space="0"/>
              <w:bottom w:val="single" w:color="auto" w:sz="4" w:space="0"/>
              <w:right w:val="single" w:color="auto" w:sz="4" w:space="0"/>
            </w:tcBorders>
            <w:shd w:val="clear" w:color="auto" w:fill="D9D9D9"/>
            <w:vAlign w:val="center"/>
          </w:tcPr>
          <w:p>
            <w:pPr>
              <w:pStyle w:val="7"/>
              <w:snapToGrid w:val="0"/>
              <w:spacing w:before="0" w:beforeAutospacing="0" w:after="0" w:afterAutospacing="0" w:line="200" w:lineRule="atLeast"/>
              <w:jc w:val="right"/>
              <w:textAlignment w:val="center"/>
              <w:rPr>
                <w:rFonts w:hint="eastAsia" w:ascii="Times New Roman" w:hAnsi="Times New Roman" w:eastAsia="宋体" w:cs="Times New Roman"/>
                <w:kern w:val="24"/>
                <w:sz w:val="18"/>
                <w:szCs w:val="18"/>
                <w:lang w:val="en-US" w:eastAsia="zh-CN"/>
              </w:rPr>
            </w:pPr>
            <w:r>
              <w:rPr>
                <w:rFonts w:hint="eastAsia" w:ascii="Times New Roman" w:hAnsi="Times New Roman" w:cs="Times New Roman"/>
                <w:kern w:val="24"/>
                <w:sz w:val="18"/>
                <w:szCs w:val="18"/>
                <w:lang w:val="en-US" w:eastAsia="zh-CN"/>
              </w:rPr>
              <w:t>-</w:t>
            </w:r>
          </w:p>
        </w:tc>
        <w:tc>
          <w:tcPr>
            <w:tcW w:w="399" w:type="pct"/>
            <w:tcBorders>
              <w:top w:val="single" w:color="auto" w:sz="4" w:space="0"/>
              <w:left w:val="single" w:color="auto" w:sz="4" w:space="0"/>
              <w:bottom w:val="single" w:color="auto" w:sz="4" w:space="0"/>
              <w:right w:val="single" w:color="auto" w:sz="4" w:space="0"/>
            </w:tcBorders>
            <w:shd w:val="clear" w:color="auto" w:fill="D9D9D9"/>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w:t>
            </w:r>
          </w:p>
        </w:tc>
        <w:tc>
          <w:tcPr>
            <w:tcW w:w="342"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hint="default" w:eastAsia="宋体"/>
                <w:kern w:val="24"/>
                <w:sz w:val="18"/>
                <w:szCs w:val="18"/>
                <w:highlight w:val="yellow"/>
                <w:lang w:val="en-US" w:eastAsia="zh-CN"/>
              </w:rPr>
            </w:pPr>
            <w:r>
              <w:rPr>
                <w:rFonts w:hint="eastAsia"/>
                <w:kern w:val="24"/>
                <w:sz w:val="18"/>
                <w:szCs w:val="18"/>
                <w:highlight w:val="none"/>
                <w:lang w:val="en-US" w:eastAsia="zh-CN"/>
              </w:rPr>
              <w:t>1,961.66</w:t>
            </w:r>
          </w:p>
        </w:tc>
        <w:tc>
          <w:tcPr>
            <w:tcW w:w="212" w:type="pct"/>
            <w:tcBorders>
              <w:top w:val="single" w:color="auto" w:sz="4" w:space="0"/>
              <w:left w:val="single" w:color="auto" w:sz="4" w:space="0"/>
              <w:bottom w:val="single" w:color="auto" w:sz="4" w:space="0"/>
              <w:right w:val="single" w:color="auto" w:sz="4" w:space="0"/>
            </w:tcBorders>
            <w:shd w:val="clear" w:color="auto" w:fill="D9D9D9"/>
            <w:vAlign w:val="center"/>
          </w:tcPr>
          <w:p>
            <w:pPr>
              <w:jc w:val="right"/>
              <w:rPr>
                <w:kern w:val="24"/>
                <w:sz w:val="18"/>
                <w:szCs w:val="18"/>
              </w:rPr>
            </w:pPr>
            <w:r>
              <w:rPr>
                <w:kern w:val="24"/>
                <w:sz w:val="18"/>
                <w:szCs w:val="18"/>
              </w:rPr>
              <w:t>-</w:t>
            </w:r>
          </w:p>
        </w:tc>
        <w:tc>
          <w:tcPr>
            <w:tcW w:w="361" w:type="pct"/>
            <w:tcBorders>
              <w:top w:val="single" w:color="auto" w:sz="4" w:space="0"/>
              <w:left w:val="single" w:color="auto" w:sz="4" w:space="0"/>
              <w:bottom w:val="single" w:color="auto" w:sz="4" w:space="0"/>
              <w:right w:val="single" w:color="auto" w:sz="4" w:space="0"/>
            </w:tcBorders>
            <w:shd w:val="clear" w:color="auto" w:fill="D9D9D9"/>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w:t>
            </w:r>
          </w:p>
        </w:tc>
      </w:tr>
      <w:tr>
        <w:tblPrEx>
          <w:tblCellMar>
            <w:top w:w="0" w:type="dxa"/>
            <w:left w:w="28" w:type="dxa"/>
            <w:bottom w:w="0" w:type="dxa"/>
            <w:right w:w="28" w:type="dxa"/>
          </w:tblCellMar>
        </w:tblPrEx>
        <w:trPr>
          <w:trHeight w:val="397" w:hRule="atLeast"/>
          <w:jc w:val="right"/>
        </w:trPr>
        <w:tc>
          <w:tcPr>
            <w:tcW w:w="5000" w:type="pct"/>
            <w:gridSpan w:val="11"/>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00" w:lineRule="atLeast"/>
              <w:ind w:left="-10" w:leftChars="-5" w:right="-10" w:rightChars="-5"/>
              <w:jc w:val="left"/>
              <w:rPr>
                <w:kern w:val="24"/>
                <w:sz w:val="18"/>
                <w:szCs w:val="18"/>
              </w:rPr>
            </w:pPr>
            <w:r>
              <w:rPr>
                <w:kern w:val="24"/>
                <w:sz w:val="18"/>
                <w:szCs w:val="18"/>
              </w:rPr>
              <w:t>超募资金投向</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rPr>
                <w:b/>
                <w:sz w:val="18"/>
                <w:szCs w:val="18"/>
              </w:rPr>
            </w:pPr>
            <w:r>
              <w:rPr>
                <w:sz w:val="18"/>
                <w:szCs w:val="18"/>
              </w:rPr>
              <w:t>不适用</w:t>
            </w:r>
          </w:p>
        </w:tc>
        <w:tc>
          <w:tcPr>
            <w:tcW w:w="31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center"/>
              <w:rPr>
                <w:b/>
                <w:sz w:val="18"/>
                <w:szCs w:val="18"/>
              </w:rPr>
            </w:pPr>
          </w:p>
        </w:tc>
        <w:tc>
          <w:tcPr>
            <w:tcW w:w="388"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right"/>
              <w:rPr>
                <w:kern w:val="0"/>
                <w:sz w:val="18"/>
                <w:szCs w:val="18"/>
              </w:rPr>
            </w:pPr>
          </w:p>
        </w:tc>
        <w:tc>
          <w:tcPr>
            <w:tcW w:w="385"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right"/>
              <w:rPr>
                <w:kern w:val="0"/>
                <w:sz w:val="18"/>
                <w:szCs w:val="18"/>
              </w:rPr>
            </w:pPr>
          </w:p>
        </w:tc>
        <w:tc>
          <w:tcPr>
            <w:tcW w:w="359"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right"/>
              <w:rPr>
                <w:sz w:val="18"/>
                <w:szCs w:val="18"/>
              </w:rPr>
            </w:pPr>
          </w:p>
        </w:tc>
        <w:tc>
          <w:tcPr>
            <w:tcW w:w="40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right"/>
              <w:rPr>
                <w:sz w:val="18"/>
                <w:szCs w:val="18"/>
              </w:rPr>
            </w:pPr>
          </w:p>
        </w:tc>
        <w:tc>
          <w:tcPr>
            <w:tcW w:w="69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right"/>
              <w:rPr>
                <w:b/>
                <w:sz w:val="18"/>
                <w:szCs w:val="18"/>
              </w:rPr>
            </w:pPr>
          </w:p>
        </w:tc>
        <w:tc>
          <w:tcPr>
            <w:tcW w:w="399"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right"/>
              <w:rPr>
                <w:b/>
                <w:sz w:val="18"/>
                <w:szCs w:val="18"/>
              </w:rPr>
            </w:pPr>
          </w:p>
        </w:tc>
        <w:tc>
          <w:tcPr>
            <w:tcW w:w="342"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right"/>
              <w:rPr>
                <w:b/>
                <w:sz w:val="18"/>
                <w:szCs w:val="18"/>
              </w:rPr>
            </w:pPr>
          </w:p>
        </w:tc>
        <w:tc>
          <w:tcPr>
            <w:tcW w:w="212"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right"/>
              <w:rPr>
                <w:b/>
                <w:sz w:val="18"/>
                <w:szCs w:val="18"/>
              </w:rPr>
            </w:pPr>
          </w:p>
        </w:tc>
        <w:tc>
          <w:tcPr>
            <w:tcW w:w="361" w:type="pct"/>
            <w:tcBorders>
              <w:top w:val="single" w:color="auto" w:sz="4" w:space="0"/>
              <w:left w:val="single" w:color="auto" w:sz="4" w:space="0"/>
              <w:bottom w:val="single" w:color="auto" w:sz="4" w:space="0"/>
              <w:right w:val="single" w:color="auto" w:sz="4" w:space="0"/>
            </w:tcBorders>
            <w:vAlign w:val="center"/>
          </w:tcPr>
          <w:p>
            <w:pPr>
              <w:snapToGrid w:val="0"/>
              <w:spacing w:line="200" w:lineRule="atLeast"/>
              <w:ind w:left="-10" w:leftChars="-5" w:right="-10" w:rightChars="-5"/>
              <w:jc w:val="right"/>
              <w:rPr>
                <w:b/>
                <w:sz w:val="18"/>
                <w:szCs w:val="18"/>
              </w:rPr>
            </w:pP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9D9D9"/>
            <w:vAlign w:val="center"/>
          </w:tcPr>
          <w:p>
            <w:pPr>
              <w:snapToGrid w:val="0"/>
              <w:spacing w:line="200" w:lineRule="atLeast"/>
              <w:ind w:left="-10" w:leftChars="-5" w:right="-10" w:rightChars="-5"/>
              <w:rPr>
                <w:sz w:val="18"/>
                <w:szCs w:val="18"/>
              </w:rPr>
            </w:pPr>
            <w:r>
              <w:rPr>
                <w:sz w:val="18"/>
                <w:szCs w:val="18"/>
              </w:rPr>
              <w:t>超募资金投向小计</w:t>
            </w:r>
          </w:p>
        </w:tc>
        <w:tc>
          <w:tcPr>
            <w:tcW w:w="311" w:type="pct"/>
            <w:tcBorders>
              <w:top w:val="single" w:color="auto" w:sz="4" w:space="0"/>
              <w:left w:val="single" w:color="auto" w:sz="4" w:space="0"/>
              <w:bottom w:val="single" w:color="auto" w:sz="4" w:space="0"/>
              <w:right w:val="single" w:color="auto" w:sz="4" w:space="0"/>
            </w:tcBorders>
            <w:shd w:val="clear" w:color="auto" w:fill="D9D9D9"/>
            <w:vAlign w:val="center"/>
          </w:tcPr>
          <w:p>
            <w:pPr>
              <w:snapToGrid w:val="0"/>
              <w:spacing w:line="200" w:lineRule="atLeast"/>
              <w:ind w:left="-10" w:leftChars="-5" w:right="-10" w:rightChars="-5"/>
              <w:jc w:val="center"/>
              <w:rPr>
                <w:sz w:val="18"/>
                <w:szCs w:val="18"/>
              </w:rPr>
            </w:pPr>
            <w:r>
              <w:rPr>
                <w:sz w:val="18"/>
                <w:szCs w:val="18"/>
              </w:rPr>
              <w:t>-</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00" w:lineRule="atLeast"/>
              <w:ind w:left="-10" w:leftChars="-5" w:right="-10" w:rightChars="-5"/>
              <w:jc w:val="right"/>
              <w:rPr>
                <w:sz w:val="18"/>
                <w:szCs w:val="18"/>
              </w:rPr>
            </w:pPr>
          </w:p>
        </w:tc>
        <w:tc>
          <w:tcPr>
            <w:tcW w:w="385"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00" w:lineRule="atLeast"/>
              <w:ind w:left="-10" w:leftChars="-5" w:right="-10" w:rightChars="-5"/>
              <w:jc w:val="right"/>
              <w:rPr>
                <w:sz w:val="18"/>
                <w:szCs w:val="18"/>
              </w:rPr>
            </w:pPr>
          </w:p>
        </w:tc>
        <w:tc>
          <w:tcPr>
            <w:tcW w:w="359"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00" w:lineRule="atLeast"/>
              <w:ind w:left="-10" w:leftChars="-5" w:right="-10" w:rightChars="-5"/>
              <w:jc w:val="right"/>
              <w:rPr>
                <w:sz w:val="18"/>
                <w:szCs w:val="18"/>
              </w:rPr>
            </w:pPr>
          </w:p>
        </w:tc>
        <w:tc>
          <w:tcPr>
            <w:tcW w:w="401"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00" w:lineRule="atLeast"/>
              <w:ind w:left="-10" w:leftChars="-5" w:right="-10" w:rightChars="-5"/>
              <w:jc w:val="right"/>
              <w:rPr>
                <w:sz w:val="18"/>
                <w:szCs w:val="18"/>
              </w:rPr>
            </w:pPr>
          </w:p>
        </w:tc>
        <w:tc>
          <w:tcPr>
            <w:tcW w:w="691" w:type="pct"/>
            <w:tcBorders>
              <w:top w:val="single" w:color="auto" w:sz="4" w:space="0"/>
              <w:left w:val="single" w:color="auto" w:sz="4" w:space="0"/>
              <w:bottom w:val="single" w:color="auto" w:sz="4" w:space="0"/>
              <w:right w:val="single" w:color="auto" w:sz="4" w:space="0"/>
            </w:tcBorders>
            <w:shd w:val="clear" w:color="auto" w:fill="D9D9D9"/>
            <w:vAlign w:val="center"/>
          </w:tcPr>
          <w:p>
            <w:pPr>
              <w:snapToGrid w:val="0"/>
              <w:spacing w:line="200" w:lineRule="atLeast"/>
              <w:ind w:left="-10" w:leftChars="-5" w:right="-10" w:rightChars="-5"/>
              <w:jc w:val="right"/>
              <w:rPr>
                <w:sz w:val="18"/>
                <w:szCs w:val="18"/>
              </w:rPr>
            </w:pPr>
            <w:r>
              <w:rPr>
                <w:sz w:val="18"/>
                <w:szCs w:val="18"/>
              </w:rPr>
              <w:t>-</w:t>
            </w:r>
          </w:p>
        </w:tc>
        <w:tc>
          <w:tcPr>
            <w:tcW w:w="399" w:type="pct"/>
            <w:tcBorders>
              <w:top w:val="single" w:color="auto" w:sz="4" w:space="0"/>
              <w:left w:val="single" w:color="auto" w:sz="4" w:space="0"/>
              <w:bottom w:val="single" w:color="auto" w:sz="4" w:space="0"/>
              <w:right w:val="single" w:color="auto" w:sz="4" w:space="0"/>
            </w:tcBorders>
            <w:shd w:val="clear" w:color="auto" w:fill="D9D9D9"/>
            <w:vAlign w:val="center"/>
          </w:tcPr>
          <w:p>
            <w:pPr>
              <w:snapToGrid w:val="0"/>
              <w:spacing w:line="200" w:lineRule="atLeast"/>
              <w:ind w:left="-10" w:leftChars="-5" w:right="-10" w:rightChars="-5"/>
              <w:jc w:val="right"/>
              <w:rPr>
                <w:b/>
                <w:sz w:val="18"/>
                <w:szCs w:val="18"/>
              </w:rPr>
            </w:pPr>
            <w:r>
              <w:rPr>
                <w:sz w:val="18"/>
                <w:szCs w:val="18"/>
              </w:rPr>
              <w:t>-</w:t>
            </w:r>
          </w:p>
        </w:tc>
        <w:tc>
          <w:tcPr>
            <w:tcW w:w="342"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00" w:lineRule="atLeast"/>
              <w:ind w:left="-10" w:leftChars="-5" w:right="-10" w:rightChars="-5"/>
              <w:jc w:val="right"/>
              <w:rPr>
                <w:sz w:val="18"/>
                <w:szCs w:val="18"/>
              </w:rPr>
            </w:pPr>
          </w:p>
        </w:tc>
        <w:tc>
          <w:tcPr>
            <w:tcW w:w="212" w:type="pct"/>
            <w:tcBorders>
              <w:top w:val="single" w:color="auto" w:sz="4" w:space="0"/>
              <w:left w:val="single" w:color="auto" w:sz="4" w:space="0"/>
              <w:bottom w:val="single" w:color="auto" w:sz="4" w:space="0"/>
              <w:right w:val="single" w:color="auto" w:sz="4" w:space="0"/>
            </w:tcBorders>
            <w:shd w:val="clear" w:color="auto" w:fill="D9D9D9"/>
            <w:vAlign w:val="center"/>
          </w:tcPr>
          <w:p>
            <w:pPr>
              <w:snapToGrid w:val="0"/>
              <w:spacing w:line="200" w:lineRule="atLeast"/>
              <w:ind w:left="-10" w:leftChars="-5" w:right="-10" w:rightChars="-5"/>
              <w:jc w:val="right"/>
              <w:rPr>
                <w:sz w:val="18"/>
                <w:szCs w:val="18"/>
              </w:rPr>
            </w:pPr>
            <w:r>
              <w:rPr>
                <w:sz w:val="18"/>
                <w:szCs w:val="18"/>
              </w:rPr>
              <w:t>-</w:t>
            </w:r>
          </w:p>
        </w:tc>
        <w:tc>
          <w:tcPr>
            <w:tcW w:w="361" w:type="pct"/>
            <w:tcBorders>
              <w:top w:val="single" w:color="auto" w:sz="4" w:space="0"/>
              <w:left w:val="single" w:color="auto" w:sz="4" w:space="0"/>
              <w:bottom w:val="single" w:color="auto" w:sz="4" w:space="0"/>
              <w:right w:val="single" w:color="auto" w:sz="4" w:space="0"/>
            </w:tcBorders>
            <w:shd w:val="clear" w:color="auto" w:fill="D9D9D9"/>
            <w:vAlign w:val="center"/>
          </w:tcPr>
          <w:p>
            <w:pPr>
              <w:snapToGrid w:val="0"/>
              <w:spacing w:line="200" w:lineRule="atLeast"/>
              <w:ind w:left="-10" w:leftChars="-5" w:right="-10" w:rightChars="-5"/>
              <w:jc w:val="right"/>
              <w:rPr>
                <w:sz w:val="18"/>
                <w:szCs w:val="18"/>
              </w:rPr>
            </w:pPr>
            <w:r>
              <w:rPr>
                <w:sz w:val="18"/>
                <w:szCs w:val="18"/>
              </w:rPr>
              <w:t>-</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9D9D9"/>
            <w:vAlign w:val="center"/>
          </w:tcPr>
          <w:p>
            <w:pPr>
              <w:snapToGrid w:val="0"/>
              <w:spacing w:line="200" w:lineRule="atLeast"/>
              <w:ind w:left="-10" w:leftChars="-5" w:right="-10" w:rightChars="-5"/>
              <w:jc w:val="center"/>
              <w:rPr>
                <w:b/>
                <w:sz w:val="18"/>
                <w:szCs w:val="18"/>
              </w:rPr>
            </w:pPr>
            <w:r>
              <w:rPr>
                <w:b/>
                <w:sz w:val="18"/>
                <w:szCs w:val="18"/>
              </w:rPr>
              <w:t>合计</w:t>
            </w:r>
          </w:p>
        </w:tc>
        <w:tc>
          <w:tcPr>
            <w:tcW w:w="311" w:type="pct"/>
            <w:tcBorders>
              <w:top w:val="single" w:color="auto" w:sz="4" w:space="0"/>
              <w:left w:val="single" w:color="auto" w:sz="4" w:space="0"/>
              <w:bottom w:val="single" w:color="auto" w:sz="4" w:space="0"/>
              <w:right w:val="single" w:color="auto" w:sz="4" w:space="0"/>
            </w:tcBorders>
            <w:shd w:val="clear" w:color="auto" w:fill="D9D9D9"/>
            <w:vAlign w:val="center"/>
          </w:tcPr>
          <w:p>
            <w:pPr>
              <w:snapToGrid w:val="0"/>
              <w:spacing w:line="200" w:lineRule="atLeast"/>
              <w:ind w:left="-10" w:leftChars="-5" w:right="-10" w:rightChars="-5"/>
              <w:jc w:val="center"/>
              <w:rPr>
                <w:b/>
                <w:sz w:val="18"/>
                <w:szCs w:val="18"/>
              </w:rPr>
            </w:pPr>
            <w:r>
              <w:rPr>
                <w:b/>
                <w:sz w:val="18"/>
                <w:szCs w:val="18"/>
              </w:rPr>
              <w:t>-</w:t>
            </w:r>
          </w:p>
        </w:tc>
        <w:tc>
          <w:tcPr>
            <w:tcW w:w="388" w:type="pct"/>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200" w:lineRule="atLeast"/>
              <w:jc w:val="right"/>
              <w:rPr>
                <w:sz w:val="18"/>
                <w:szCs w:val="18"/>
              </w:rPr>
            </w:pPr>
            <w:r>
              <w:rPr>
                <w:sz w:val="18"/>
                <w:szCs w:val="18"/>
              </w:rPr>
              <w:t>275,513.57</w:t>
            </w:r>
          </w:p>
        </w:tc>
        <w:tc>
          <w:tcPr>
            <w:tcW w:w="38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7"/>
              <w:snapToGrid w:val="0"/>
              <w:spacing w:before="0" w:beforeAutospacing="0" w:after="0" w:afterAutospacing="0" w:line="200" w:lineRule="atLeast"/>
              <w:jc w:val="right"/>
              <w:textAlignment w:val="center"/>
              <w:rPr>
                <w:rFonts w:ascii="Times New Roman" w:hAnsi="Times New Roman" w:cs="Times New Roman"/>
                <w:color w:val="000000"/>
                <w:sz w:val="18"/>
                <w:szCs w:val="18"/>
              </w:rPr>
            </w:pPr>
            <w:r>
              <w:rPr>
                <w:rFonts w:ascii="Times New Roman" w:hAnsi="Times New Roman" w:cs="Times New Roman"/>
                <w:bCs/>
                <w:color w:val="000000"/>
                <w:kern w:val="24"/>
                <w:sz w:val="18"/>
                <w:szCs w:val="18"/>
              </w:rPr>
              <w:t>188,516.01</w:t>
            </w:r>
          </w:p>
        </w:tc>
        <w:tc>
          <w:tcPr>
            <w:tcW w:w="359" w:type="pct"/>
            <w:tcBorders>
              <w:top w:val="single" w:color="auto" w:sz="4" w:space="0"/>
              <w:left w:val="single" w:color="auto" w:sz="4" w:space="0"/>
              <w:bottom w:val="single" w:color="auto" w:sz="4" w:space="0"/>
              <w:right w:val="single" w:color="auto" w:sz="4" w:space="0"/>
            </w:tcBorders>
            <w:shd w:val="clear" w:color="auto" w:fill="auto"/>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4,246.74</w:t>
            </w:r>
          </w:p>
        </w:tc>
        <w:tc>
          <w:tcPr>
            <w:tcW w:w="401" w:type="pct"/>
            <w:tcBorders>
              <w:top w:val="single" w:color="auto" w:sz="4" w:space="0"/>
              <w:left w:val="single" w:color="auto" w:sz="4" w:space="0"/>
              <w:bottom w:val="single" w:color="auto" w:sz="4" w:space="0"/>
              <w:right w:val="single" w:color="auto" w:sz="4" w:space="0"/>
            </w:tcBorders>
            <w:shd w:val="clear" w:color="auto" w:fill="auto"/>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143,728.62</w:t>
            </w:r>
          </w:p>
        </w:tc>
        <w:tc>
          <w:tcPr>
            <w:tcW w:w="691" w:type="pct"/>
            <w:tcBorders>
              <w:top w:val="single" w:color="auto" w:sz="4" w:space="0"/>
              <w:left w:val="single" w:color="auto" w:sz="4" w:space="0"/>
              <w:bottom w:val="single" w:color="auto" w:sz="4" w:space="0"/>
              <w:right w:val="single" w:color="auto" w:sz="4" w:space="0"/>
            </w:tcBorders>
            <w:shd w:val="clear" w:color="auto" w:fill="D9D9D9"/>
            <w:vAlign w:val="center"/>
          </w:tcPr>
          <w:p>
            <w:pPr>
              <w:jc w:val="right"/>
              <w:rPr>
                <w:bCs/>
                <w:color w:val="000000"/>
                <w:kern w:val="24"/>
                <w:sz w:val="18"/>
                <w:szCs w:val="18"/>
              </w:rPr>
            </w:pPr>
            <w:r>
              <w:rPr>
                <w:bCs/>
                <w:color w:val="000000"/>
                <w:kern w:val="24"/>
                <w:sz w:val="18"/>
                <w:szCs w:val="18"/>
              </w:rPr>
              <w:t>-</w:t>
            </w:r>
          </w:p>
        </w:tc>
        <w:tc>
          <w:tcPr>
            <w:tcW w:w="399" w:type="pct"/>
            <w:tcBorders>
              <w:top w:val="single" w:color="auto" w:sz="4" w:space="0"/>
              <w:left w:val="single" w:color="auto" w:sz="4" w:space="0"/>
              <w:bottom w:val="single" w:color="auto" w:sz="4" w:space="0"/>
              <w:right w:val="single" w:color="auto" w:sz="4" w:space="0"/>
            </w:tcBorders>
            <w:shd w:val="clear" w:color="auto" w:fill="D9D9D9"/>
            <w:vAlign w:val="center"/>
          </w:tcPr>
          <w:p>
            <w:pPr>
              <w:jc w:val="right"/>
              <w:rPr>
                <w:bCs/>
                <w:color w:val="000000"/>
                <w:kern w:val="24"/>
                <w:sz w:val="18"/>
                <w:szCs w:val="18"/>
              </w:rPr>
            </w:pPr>
            <w:r>
              <w:rPr>
                <w:bCs/>
                <w:color w:val="000000"/>
                <w:kern w:val="24"/>
                <w:sz w:val="18"/>
                <w:szCs w:val="18"/>
              </w:rPr>
              <w:t>-</w:t>
            </w:r>
          </w:p>
        </w:tc>
        <w:tc>
          <w:tcPr>
            <w:tcW w:w="342" w:type="pct"/>
            <w:tcBorders>
              <w:top w:val="single" w:color="auto" w:sz="4" w:space="0"/>
              <w:left w:val="single" w:color="auto" w:sz="4" w:space="0"/>
              <w:bottom w:val="single" w:color="auto" w:sz="4" w:space="0"/>
              <w:right w:val="single" w:color="auto" w:sz="4" w:space="0"/>
            </w:tcBorders>
            <w:shd w:val="clear" w:color="auto" w:fill="auto"/>
            <w:vAlign w:val="center"/>
          </w:tcPr>
          <w:p>
            <w:pPr>
              <w:jc w:val="right"/>
              <w:rPr>
                <w:bCs/>
                <w:color w:val="000000"/>
                <w:kern w:val="24"/>
                <w:sz w:val="18"/>
                <w:szCs w:val="18"/>
              </w:rPr>
            </w:pPr>
            <w:r>
              <w:rPr>
                <w:rFonts w:hint="eastAsia"/>
                <w:kern w:val="24"/>
                <w:sz w:val="18"/>
                <w:szCs w:val="18"/>
                <w:highlight w:val="none"/>
                <w:lang w:val="en-US" w:eastAsia="zh-CN"/>
              </w:rPr>
              <w:t>1,961.66</w:t>
            </w:r>
          </w:p>
        </w:tc>
        <w:tc>
          <w:tcPr>
            <w:tcW w:w="212" w:type="pct"/>
            <w:tcBorders>
              <w:top w:val="single" w:color="auto" w:sz="4" w:space="0"/>
              <w:left w:val="single" w:color="auto" w:sz="4" w:space="0"/>
              <w:bottom w:val="single" w:color="auto" w:sz="4" w:space="0"/>
              <w:right w:val="single" w:color="auto" w:sz="4" w:space="0"/>
            </w:tcBorders>
            <w:shd w:val="clear" w:color="auto" w:fill="D9D9D9"/>
            <w:vAlign w:val="center"/>
          </w:tcPr>
          <w:p>
            <w:pPr>
              <w:snapToGrid w:val="0"/>
              <w:spacing w:line="200" w:lineRule="atLeast"/>
              <w:ind w:left="-10" w:leftChars="-5" w:right="-10" w:rightChars="-5"/>
              <w:jc w:val="right"/>
              <w:rPr>
                <w:b/>
                <w:sz w:val="18"/>
                <w:szCs w:val="18"/>
              </w:rPr>
            </w:pPr>
            <w:r>
              <w:rPr>
                <w:b/>
                <w:sz w:val="18"/>
                <w:szCs w:val="18"/>
              </w:rPr>
              <w:t>-</w:t>
            </w:r>
          </w:p>
        </w:tc>
        <w:tc>
          <w:tcPr>
            <w:tcW w:w="361" w:type="pct"/>
            <w:tcBorders>
              <w:top w:val="single" w:color="auto" w:sz="4" w:space="0"/>
              <w:left w:val="single" w:color="auto" w:sz="4" w:space="0"/>
              <w:bottom w:val="single" w:color="auto" w:sz="4" w:space="0"/>
              <w:right w:val="single" w:color="auto" w:sz="4" w:space="0"/>
            </w:tcBorders>
            <w:shd w:val="clear" w:color="auto" w:fill="D9D9D9"/>
            <w:vAlign w:val="center"/>
          </w:tcPr>
          <w:p>
            <w:pPr>
              <w:snapToGrid w:val="0"/>
              <w:spacing w:line="200" w:lineRule="atLeast"/>
              <w:ind w:left="-10" w:leftChars="-5" w:right="-10" w:rightChars="-5"/>
              <w:jc w:val="right"/>
              <w:rPr>
                <w:b/>
                <w:sz w:val="18"/>
                <w:szCs w:val="18"/>
              </w:rPr>
            </w:pPr>
            <w:r>
              <w:rPr>
                <w:b/>
                <w:sz w:val="18"/>
                <w:szCs w:val="18"/>
              </w:rPr>
              <w:t>-</w:t>
            </w:r>
          </w:p>
        </w:tc>
      </w:tr>
      <w:tr>
        <w:tblPrEx>
          <w:tblCellMar>
            <w:top w:w="0" w:type="dxa"/>
            <w:left w:w="28" w:type="dxa"/>
            <w:bottom w:w="0" w:type="dxa"/>
            <w:right w:w="28" w:type="dxa"/>
          </w:tblCellMar>
        </w:tblPrEx>
        <w:trPr>
          <w:trHeight w:val="530"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20" w:lineRule="atLeast"/>
              <w:ind w:left="-10" w:leftChars="-5" w:right="-10" w:rightChars="-5"/>
              <w:rPr>
                <w:sz w:val="18"/>
                <w:szCs w:val="18"/>
              </w:rPr>
            </w:pPr>
            <w:r>
              <w:rPr>
                <w:sz w:val="18"/>
                <w:szCs w:val="18"/>
              </w:rPr>
              <w:t>未达到计划进度或预计收益的情况和原因（分具体项目）</w:t>
            </w:r>
          </w:p>
        </w:tc>
        <w:tc>
          <w:tcPr>
            <w:tcW w:w="3849" w:type="pct"/>
            <w:gridSpan w:val="10"/>
            <w:tcBorders>
              <w:top w:val="single" w:color="auto" w:sz="4" w:space="0"/>
              <w:left w:val="single" w:color="auto" w:sz="4" w:space="0"/>
              <w:bottom w:val="single" w:color="auto" w:sz="4" w:space="0"/>
              <w:right w:val="single" w:color="auto" w:sz="4" w:space="0"/>
            </w:tcBorders>
            <w:vAlign w:val="center"/>
          </w:tcPr>
          <w:p>
            <w:pPr>
              <w:snapToGrid w:val="0"/>
              <w:spacing w:line="220" w:lineRule="atLeast"/>
              <w:ind w:left="-10" w:leftChars="-5" w:right="-10" w:rightChars="-5" w:firstLine="360" w:firstLineChars="200"/>
              <w:jc w:val="left"/>
              <w:rPr>
                <w:sz w:val="18"/>
                <w:szCs w:val="18"/>
              </w:rPr>
            </w:pPr>
            <w:r>
              <w:rPr>
                <w:rFonts w:hint="eastAsia"/>
                <w:sz w:val="18"/>
                <w:szCs w:val="18"/>
              </w:rPr>
              <w:t>不适用</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20" w:lineRule="atLeast"/>
              <w:ind w:left="-10" w:leftChars="-5" w:right="-10" w:rightChars="-5"/>
              <w:rPr>
                <w:sz w:val="18"/>
                <w:szCs w:val="18"/>
              </w:rPr>
            </w:pPr>
            <w:r>
              <w:rPr>
                <w:sz w:val="18"/>
                <w:szCs w:val="18"/>
              </w:rPr>
              <w:t>项目可行性发生重大变化的情况说明</w:t>
            </w:r>
          </w:p>
        </w:tc>
        <w:tc>
          <w:tcPr>
            <w:tcW w:w="3849" w:type="pct"/>
            <w:gridSpan w:val="10"/>
            <w:tcBorders>
              <w:top w:val="single" w:color="auto" w:sz="4" w:space="0"/>
              <w:left w:val="single" w:color="auto" w:sz="4" w:space="0"/>
              <w:bottom w:val="single" w:color="auto" w:sz="4" w:space="0"/>
              <w:right w:val="single" w:color="auto" w:sz="4" w:space="0"/>
            </w:tcBorders>
            <w:vAlign w:val="center"/>
          </w:tcPr>
          <w:p>
            <w:pPr>
              <w:snapToGrid w:val="0"/>
              <w:spacing w:line="220" w:lineRule="atLeast"/>
              <w:ind w:left="-10" w:leftChars="-5" w:right="-10" w:rightChars="-5" w:firstLine="360" w:firstLineChars="200"/>
              <w:rPr>
                <w:sz w:val="18"/>
                <w:szCs w:val="18"/>
              </w:rPr>
            </w:pPr>
            <w:r>
              <w:rPr>
                <w:rFonts w:hint="eastAsia"/>
                <w:sz w:val="18"/>
                <w:szCs w:val="18"/>
              </w:rPr>
              <w:t>2019年前</w:t>
            </w:r>
            <w:r>
              <w:rPr>
                <w:sz w:val="18"/>
                <w:szCs w:val="18"/>
              </w:rPr>
              <w:t>，高新材料业务受上游石化产品价格普遍上涨和国内环保加强监管影响，原材料成本持续上升，同时下游市场竞争激烈，销售价格并未随之上涨，造成整个行业利润率明显下滑。有鉴于此，为控制在高新材料行业的投资风险，公司对募投项目方案进行了调整和优化。具体情况参见《关于调整募集资金投资项目实施方案的公告》，公告编号2019-018）</w:t>
            </w:r>
          </w:p>
        </w:tc>
      </w:tr>
      <w:tr>
        <w:tblPrEx>
          <w:tblCellMar>
            <w:top w:w="0" w:type="dxa"/>
            <w:left w:w="28" w:type="dxa"/>
            <w:bottom w:w="0" w:type="dxa"/>
            <w:right w:w="28" w:type="dxa"/>
          </w:tblCellMar>
        </w:tblPrEx>
        <w:trPr>
          <w:trHeight w:val="90"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20" w:lineRule="atLeast"/>
              <w:ind w:left="-10" w:leftChars="-5" w:right="-10" w:rightChars="-5"/>
              <w:rPr>
                <w:sz w:val="18"/>
                <w:szCs w:val="18"/>
              </w:rPr>
            </w:pPr>
            <w:r>
              <w:rPr>
                <w:sz w:val="18"/>
                <w:szCs w:val="18"/>
              </w:rPr>
              <w:t>超募资金的金额、用途及使用进展情况</w:t>
            </w:r>
          </w:p>
        </w:tc>
        <w:tc>
          <w:tcPr>
            <w:tcW w:w="3849" w:type="pct"/>
            <w:gridSpan w:val="10"/>
            <w:tcBorders>
              <w:top w:val="single" w:color="auto" w:sz="4" w:space="0"/>
              <w:left w:val="single" w:color="auto" w:sz="4" w:space="0"/>
              <w:bottom w:val="single" w:color="auto" w:sz="4" w:space="0"/>
              <w:right w:val="single" w:color="auto" w:sz="4" w:space="0"/>
            </w:tcBorders>
            <w:vAlign w:val="center"/>
          </w:tcPr>
          <w:p>
            <w:pPr>
              <w:snapToGrid w:val="0"/>
              <w:spacing w:line="220" w:lineRule="atLeast"/>
              <w:ind w:left="-10" w:leftChars="-5" w:right="-10" w:rightChars="-5" w:firstLine="360" w:firstLineChars="200"/>
              <w:rPr>
                <w:sz w:val="18"/>
                <w:szCs w:val="18"/>
              </w:rPr>
            </w:pPr>
            <w:r>
              <w:rPr>
                <w:sz w:val="18"/>
                <w:szCs w:val="18"/>
              </w:rPr>
              <w:t>不适用</w:t>
            </w:r>
          </w:p>
        </w:tc>
      </w:tr>
      <w:tr>
        <w:tblPrEx>
          <w:tblCellMar>
            <w:top w:w="0" w:type="dxa"/>
            <w:left w:w="28" w:type="dxa"/>
            <w:bottom w:w="0" w:type="dxa"/>
            <w:right w:w="28" w:type="dxa"/>
          </w:tblCellMar>
        </w:tblPrEx>
        <w:trPr>
          <w:trHeight w:val="90"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20" w:lineRule="atLeast"/>
              <w:ind w:left="-10" w:leftChars="-5" w:right="-10" w:rightChars="-5"/>
              <w:rPr>
                <w:sz w:val="18"/>
                <w:szCs w:val="18"/>
              </w:rPr>
            </w:pPr>
            <w:r>
              <w:rPr>
                <w:sz w:val="18"/>
                <w:szCs w:val="18"/>
              </w:rPr>
              <w:t>募集资金投资项目实施地点变更情况</w:t>
            </w:r>
          </w:p>
        </w:tc>
        <w:tc>
          <w:tcPr>
            <w:tcW w:w="3849" w:type="pct"/>
            <w:gridSpan w:val="10"/>
            <w:tcBorders>
              <w:top w:val="single" w:color="auto" w:sz="4" w:space="0"/>
              <w:left w:val="single" w:color="auto" w:sz="4" w:space="0"/>
              <w:bottom w:val="single" w:color="auto" w:sz="4" w:space="0"/>
              <w:right w:val="single" w:color="auto" w:sz="4" w:space="0"/>
            </w:tcBorders>
            <w:vAlign w:val="center"/>
          </w:tcPr>
          <w:p>
            <w:pPr>
              <w:snapToGrid w:val="0"/>
              <w:spacing w:line="220" w:lineRule="atLeast"/>
              <w:ind w:left="-10" w:leftChars="-5" w:right="-10" w:rightChars="-5" w:firstLine="360" w:firstLineChars="200"/>
              <w:rPr>
                <w:sz w:val="18"/>
                <w:szCs w:val="18"/>
              </w:rPr>
            </w:pPr>
            <w:r>
              <w:rPr>
                <w:sz w:val="18"/>
                <w:szCs w:val="18"/>
              </w:rPr>
              <w:t>不适用</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20" w:lineRule="atLeast"/>
              <w:ind w:left="-10" w:leftChars="-5" w:right="-10" w:rightChars="-5"/>
              <w:rPr>
                <w:sz w:val="18"/>
                <w:szCs w:val="18"/>
              </w:rPr>
            </w:pPr>
            <w:r>
              <w:rPr>
                <w:sz w:val="18"/>
                <w:szCs w:val="18"/>
              </w:rPr>
              <w:t>募集资金投资项目实施方式调整情况</w:t>
            </w:r>
          </w:p>
        </w:tc>
        <w:tc>
          <w:tcPr>
            <w:tcW w:w="3849" w:type="pct"/>
            <w:gridSpan w:val="10"/>
            <w:tcBorders>
              <w:top w:val="single" w:color="auto" w:sz="4" w:space="0"/>
              <w:left w:val="single" w:color="auto" w:sz="4" w:space="0"/>
              <w:bottom w:val="single" w:color="auto" w:sz="4" w:space="0"/>
              <w:right w:val="single" w:color="auto" w:sz="4" w:space="0"/>
            </w:tcBorders>
            <w:vAlign w:val="center"/>
          </w:tcPr>
          <w:p>
            <w:pPr>
              <w:snapToGrid w:val="0"/>
              <w:spacing w:line="220" w:lineRule="atLeast"/>
              <w:ind w:left="-10" w:leftChars="-5" w:right="-10" w:rightChars="-5" w:firstLine="360" w:firstLineChars="200"/>
              <w:rPr>
                <w:sz w:val="18"/>
                <w:szCs w:val="18"/>
              </w:rPr>
            </w:pPr>
            <w:r>
              <w:rPr>
                <w:sz w:val="18"/>
                <w:szCs w:val="18"/>
              </w:rPr>
              <w:t>适用，详见本报告“四、变更募集资金的实际使用情况”之“（一）变更募集资金投资项目情况”。</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20" w:lineRule="atLeast"/>
              <w:ind w:left="-10" w:leftChars="-5" w:right="-10" w:rightChars="-5"/>
              <w:rPr>
                <w:sz w:val="18"/>
                <w:szCs w:val="18"/>
              </w:rPr>
            </w:pPr>
            <w:r>
              <w:rPr>
                <w:sz w:val="18"/>
                <w:szCs w:val="18"/>
              </w:rPr>
              <w:t>募集资金投资项目先期投入及置换情况</w:t>
            </w:r>
          </w:p>
        </w:tc>
        <w:tc>
          <w:tcPr>
            <w:tcW w:w="3849" w:type="pct"/>
            <w:gridSpan w:val="10"/>
            <w:tcBorders>
              <w:top w:val="single" w:color="auto" w:sz="4" w:space="0"/>
              <w:left w:val="single" w:color="auto" w:sz="4" w:space="0"/>
              <w:bottom w:val="single" w:color="auto" w:sz="4" w:space="0"/>
              <w:right w:val="single" w:color="auto" w:sz="4" w:space="0"/>
            </w:tcBorders>
            <w:vAlign w:val="center"/>
          </w:tcPr>
          <w:p>
            <w:pPr>
              <w:snapToGrid w:val="0"/>
              <w:spacing w:line="220" w:lineRule="atLeast"/>
              <w:ind w:left="-10" w:leftChars="-5" w:right="-10" w:rightChars="-5" w:firstLine="360" w:firstLineChars="200"/>
              <w:rPr>
                <w:sz w:val="18"/>
                <w:szCs w:val="18"/>
              </w:rPr>
            </w:pPr>
            <w:r>
              <w:rPr>
                <w:sz w:val="18"/>
                <w:szCs w:val="18"/>
              </w:rPr>
              <w:t>适用。2017年6月26日，公司第八届董事会第七次会议、第八届监事会第五次会议审议通过了《关于使用募集资金置换自筹资金的议案》，同意公司使用募集资金13,780.72万元置换预先投入募投项目的自筹资金。截至报告期期末，公司已使用募集资金13,780.72万元置换预先投入募投项目的自筹资金。</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20" w:lineRule="atLeast"/>
              <w:ind w:left="-10" w:leftChars="-5" w:right="-10" w:rightChars="-5"/>
              <w:rPr>
                <w:sz w:val="18"/>
                <w:szCs w:val="18"/>
              </w:rPr>
            </w:pPr>
            <w:r>
              <w:rPr>
                <w:sz w:val="18"/>
                <w:szCs w:val="18"/>
              </w:rPr>
              <w:t>用闲置募集资金暂时补充流动资金情况</w:t>
            </w:r>
          </w:p>
        </w:tc>
        <w:tc>
          <w:tcPr>
            <w:tcW w:w="3849" w:type="pct"/>
            <w:gridSpan w:val="10"/>
            <w:tcBorders>
              <w:top w:val="single" w:color="auto" w:sz="4" w:space="0"/>
              <w:left w:val="single" w:color="auto" w:sz="4" w:space="0"/>
              <w:bottom w:val="single" w:color="auto" w:sz="4" w:space="0"/>
              <w:right w:val="single" w:color="auto" w:sz="4" w:space="0"/>
            </w:tcBorders>
            <w:vAlign w:val="center"/>
          </w:tcPr>
          <w:p>
            <w:pPr>
              <w:snapToGrid w:val="0"/>
              <w:spacing w:line="220" w:lineRule="atLeast"/>
              <w:ind w:left="-10" w:leftChars="-5" w:right="-10" w:rightChars="-5" w:firstLine="360" w:firstLineChars="200"/>
              <w:rPr>
                <w:sz w:val="18"/>
                <w:szCs w:val="18"/>
              </w:rPr>
            </w:pPr>
            <w:r>
              <w:rPr>
                <w:sz w:val="18"/>
                <w:szCs w:val="18"/>
              </w:rPr>
              <w:t>适用。公司于2018年4月8日召开的第八届董事会第十三次会议、2018年4月9日召开的第八届监事会第十一次会议审议通过了关于《关于使用暂时闲置募集资金补充流动资金的议案》，同意公司使用部分闲置募集资金27,000万元暂时补充流动资金，使用期限为自董事会审议通过之日起不超过12个月。截至2019年4月4日，公司已将27,000万元暂时补充流动资金的闲置募集资金一次性全部归还至募集资金专项账户。</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20" w:lineRule="atLeast"/>
              <w:ind w:left="-10" w:leftChars="-5" w:right="-10" w:rightChars="-5"/>
              <w:rPr>
                <w:sz w:val="18"/>
                <w:szCs w:val="18"/>
              </w:rPr>
            </w:pPr>
            <w:r>
              <w:rPr>
                <w:rFonts w:hint="eastAsia"/>
                <w:sz w:val="18"/>
                <w:szCs w:val="18"/>
              </w:rPr>
              <w:t>用闲置募集资金进行现金管理情况</w:t>
            </w:r>
          </w:p>
        </w:tc>
        <w:tc>
          <w:tcPr>
            <w:tcW w:w="3849" w:type="pct"/>
            <w:gridSpan w:val="10"/>
            <w:tcBorders>
              <w:top w:val="single" w:color="auto" w:sz="4" w:space="0"/>
              <w:left w:val="single" w:color="auto" w:sz="4" w:space="0"/>
              <w:bottom w:val="single" w:color="auto" w:sz="4" w:space="0"/>
              <w:right w:val="single" w:color="auto" w:sz="4" w:space="0"/>
            </w:tcBorders>
            <w:vAlign w:val="center"/>
          </w:tcPr>
          <w:p>
            <w:pPr>
              <w:snapToGrid w:val="0"/>
              <w:spacing w:line="220" w:lineRule="atLeast"/>
              <w:ind w:left="-10" w:leftChars="-5" w:right="-10" w:rightChars="-5" w:firstLine="360" w:firstLineChars="200"/>
              <w:rPr>
                <w:sz w:val="18"/>
                <w:szCs w:val="18"/>
              </w:rPr>
            </w:pPr>
            <w:r>
              <w:rPr>
                <w:sz w:val="18"/>
                <w:szCs w:val="18"/>
              </w:rPr>
              <w:t>适用。截至2023年6月30日，公司使用闲置募集资金28</w:t>
            </w:r>
            <w:r>
              <w:rPr>
                <w:rFonts w:hint="eastAsia"/>
                <w:sz w:val="18"/>
                <w:szCs w:val="18"/>
              </w:rPr>
              <w:t>,</w:t>
            </w:r>
            <w:r>
              <w:rPr>
                <w:sz w:val="18"/>
                <w:szCs w:val="18"/>
              </w:rPr>
              <w:t>9</w:t>
            </w:r>
            <w:r>
              <w:rPr>
                <w:rFonts w:hint="eastAsia"/>
                <w:sz w:val="18"/>
                <w:szCs w:val="18"/>
              </w:rPr>
              <w:t>00</w:t>
            </w:r>
            <w:r>
              <w:rPr>
                <w:sz w:val="18"/>
                <w:szCs w:val="18"/>
              </w:rPr>
              <w:t>万元</w:t>
            </w:r>
            <w:r>
              <w:rPr>
                <w:rFonts w:hint="eastAsia"/>
                <w:sz w:val="18"/>
                <w:szCs w:val="18"/>
              </w:rPr>
              <w:t>进行现金管理</w:t>
            </w:r>
            <w:r>
              <w:rPr>
                <w:sz w:val="18"/>
                <w:szCs w:val="18"/>
              </w:rPr>
              <w:t xml:space="preserve">。 </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20" w:lineRule="atLeast"/>
              <w:ind w:left="-10" w:leftChars="-5" w:right="-10" w:rightChars="-5"/>
              <w:rPr>
                <w:sz w:val="18"/>
                <w:szCs w:val="18"/>
              </w:rPr>
            </w:pPr>
            <w:r>
              <w:rPr>
                <w:sz w:val="18"/>
                <w:szCs w:val="18"/>
              </w:rPr>
              <w:t>项目实施出现募集资金结余的金额及原因</w:t>
            </w:r>
          </w:p>
        </w:tc>
        <w:tc>
          <w:tcPr>
            <w:tcW w:w="3849" w:type="pct"/>
            <w:gridSpan w:val="10"/>
            <w:tcBorders>
              <w:top w:val="single" w:color="auto" w:sz="4" w:space="0"/>
              <w:left w:val="single" w:color="auto" w:sz="4" w:space="0"/>
              <w:bottom w:val="single" w:color="auto" w:sz="4" w:space="0"/>
              <w:right w:val="single" w:color="auto" w:sz="4" w:space="0"/>
            </w:tcBorders>
            <w:vAlign w:val="center"/>
          </w:tcPr>
          <w:p>
            <w:pPr>
              <w:snapToGrid w:val="0"/>
              <w:spacing w:line="220" w:lineRule="atLeast"/>
              <w:ind w:left="-10" w:leftChars="-5" w:right="-10" w:rightChars="-5" w:firstLine="360" w:firstLineChars="200"/>
              <w:rPr>
                <w:sz w:val="18"/>
                <w:szCs w:val="18"/>
              </w:rPr>
            </w:pPr>
            <w:r>
              <w:rPr>
                <w:sz w:val="18"/>
                <w:szCs w:val="18"/>
              </w:rPr>
              <w:t>适用。</w:t>
            </w:r>
          </w:p>
          <w:p>
            <w:pPr>
              <w:snapToGrid w:val="0"/>
              <w:spacing w:line="220" w:lineRule="atLeast"/>
              <w:ind w:left="-10" w:leftChars="-5" w:right="-10" w:rightChars="-5" w:firstLine="360" w:firstLineChars="200"/>
              <w:rPr>
                <w:sz w:val="18"/>
                <w:szCs w:val="18"/>
              </w:rPr>
            </w:pPr>
            <w:r>
              <w:rPr>
                <w:rFonts w:ascii="Calibri" w:hAnsi="Calibri" w:cs="Calibri"/>
                <w:sz w:val="18"/>
                <w:szCs w:val="18"/>
              </w:rPr>
              <w:t>①</w:t>
            </w:r>
            <w:r>
              <w:rPr>
                <w:sz w:val="18"/>
                <w:szCs w:val="18"/>
              </w:rPr>
              <w:t>为控制在高新材料行业的投资风险，</w:t>
            </w:r>
            <w:r>
              <w:rPr>
                <w:rFonts w:hint="eastAsia"/>
                <w:sz w:val="18"/>
                <w:szCs w:val="18"/>
              </w:rPr>
              <w:t>2019年</w:t>
            </w:r>
            <w:r>
              <w:rPr>
                <w:sz w:val="18"/>
                <w:szCs w:val="18"/>
              </w:rPr>
              <w:t>公司对募投项目方案进行调整和优化，结合公司经营情况和未来发展规划，将调减的86,799.32万元募集资金及募集资金前期现金管理收益13,734.68万元，共计100,534.00万元永久性补充流动资金。</w:t>
            </w:r>
          </w:p>
          <w:p>
            <w:pPr>
              <w:snapToGrid w:val="0"/>
              <w:spacing w:line="220" w:lineRule="atLeast"/>
              <w:ind w:left="-10" w:leftChars="-5" w:right="-10" w:rightChars="-5" w:firstLine="360" w:firstLineChars="200"/>
              <w:rPr>
                <w:rFonts w:ascii="Calibri" w:hAnsi="Calibri" w:cs="Calibri"/>
                <w:sz w:val="18"/>
                <w:szCs w:val="18"/>
              </w:rPr>
            </w:pPr>
            <w:r>
              <w:rPr>
                <w:rFonts w:ascii="Calibri" w:hAnsi="Calibri" w:cs="Calibri"/>
                <w:sz w:val="18"/>
                <w:szCs w:val="18"/>
              </w:rPr>
              <w:t>②在募投项目实施过程中，公司严格按照募集资金管理的有关规定，本着合理、高效、节约的原则，从项目的实际需求出发，科学审慎地使用募集资金，在保证项目建设质量和控制风险的前提下，加强对项目费用的监督和管控，基于项目实际运营情况，公司减少了铺底流动资金的拨付；另外为提高募集资金的使用效率，在确保不影响募集资金投资项目建设和募集资金安全的前提下，公司使用部分暂时闲置募集资金进行了现金管理，产生了一定的利息收入和理财收益。</w:t>
            </w:r>
          </w:p>
          <w:p>
            <w:pPr>
              <w:snapToGrid w:val="0"/>
              <w:spacing w:line="220" w:lineRule="atLeast"/>
              <w:ind w:left="-10" w:leftChars="-5" w:right="-10" w:rightChars="-5" w:firstLine="360" w:firstLineChars="200"/>
              <w:rPr>
                <w:sz w:val="18"/>
                <w:szCs w:val="18"/>
              </w:rPr>
            </w:pPr>
            <w:r>
              <w:rPr>
                <w:rFonts w:hint="eastAsia"/>
                <w:sz w:val="18"/>
                <w:szCs w:val="18"/>
              </w:rPr>
              <w:t>2022年5月20日，经公司2021年度股东大会决议通过，同意公司将已完成的“技术研究开发中心扩建项目”、“年产2.42万吨长玻纤增强聚丙烯车用结构材料（LFT）生产建设项目”、“年产3.2886万吨高性能改性尼龙（PA）生产建设项目”、“年产1.6133万吨高性能改性聚碳酸脂（PC）生产建设项目”、“5.864万吨高聚物材料新建项目”、“5.239万吨高聚物材料新建项目”项目结项，并将项目结项后募集专户余额17,649.26万元（具体金额以实际结转时专户资金余额为准）永久补充流动资金。截至202</w:t>
            </w:r>
            <w:r>
              <w:rPr>
                <w:sz w:val="18"/>
                <w:szCs w:val="18"/>
              </w:rPr>
              <w:t>2</w:t>
            </w:r>
            <w:r>
              <w:rPr>
                <w:rFonts w:hint="eastAsia"/>
                <w:sz w:val="18"/>
                <w:szCs w:val="18"/>
              </w:rPr>
              <w:t>年</w:t>
            </w:r>
            <w:r>
              <w:rPr>
                <w:sz w:val="18"/>
                <w:szCs w:val="18"/>
              </w:rPr>
              <w:t>12</w:t>
            </w:r>
            <w:r>
              <w:rPr>
                <w:rFonts w:hint="eastAsia"/>
                <w:sz w:val="18"/>
                <w:szCs w:val="18"/>
              </w:rPr>
              <w:t>月3</w:t>
            </w:r>
            <w:r>
              <w:rPr>
                <w:sz w:val="18"/>
                <w:szCs w:val="18"/>
              </w:rPr>
              <w:t>1</w:t>
            </w:r>
            <w:r>
              <w:rPr>
                <w:rFonts w:hint="eastAsia"/>
                <w:sz w:val="18"/>
                <w:szCs w:val="18"/>
              </w:rPr>
              <w:t>日，已完成注销专户</w:t>
            </w:r>
            <w:r>
              <w:rPr>
                <w:sz w:val="18"/>
                <w:szCs w:val="18"/>
              </w:rPr>
              <w:t>8</w:t>
            </w:r>
            <w:r>
              <w:rPr>
                <w:rFonts w:hint="eastAsia"/>
                <w:sz w:val="18"/>
                <w:szCs w:val="18"/>
              </w:rPr>
              <w:t>个，账户结余资金当期共计1</w:t>
            </w:r>
            <w:r>
              <w:rPr>
                <w:sz w:val="18"/>
                <w:szCs w:val="18"/>
              </w:rPr>
              <w:t>7</w:t>
            </w:r>
            <w:r>
              <w:rPr>
                <w:rFonts w:hint="eastAsia"/>
                <w:sz w:val="18"/>
                <w:szCs w:val="18"/>
              </w:rPr>
              <w:t>,</w:t>
            </w:r>
            <w:r>
              <w:rPr>
                <w:sz w:val="18"/>
                <w:szCs w:val="18"/>
              </w:rPr>
              <w:t>669.55</w:t>
            </w:r>
            <w:r>
              <w:rPr>
                <w:rFonts w:hint="eastAsia"/>
                <w:sz w:val="18"/>
                <w:szCs w:val="18"/>
              </w:rPr>
              <w:t>万元</w:t>
            </w:r>
            <w:r>
              <w:rPr>
                <w:sz w:val="18"/>
                <w:szCs w:val="18"/>
              </w:rPr>
              <w:t>永久性补充流动资金。</w:t>
            </w:r>
          </w:p>
        </w:tc>
      </w:tr>
      <w:tr>
        <w:tblPrEx>
          <w:tblCellMar>
            <w:top w:w="0" w:type="dxa"/>
            <w:left w:w="28" w:type="dxa"/>
            <w:bottom w:w="0" w:type="dxa"/>
            <w:right w:w="28" w:type="dxa"/>
          </w:tblCellMar>
        </w:tblPrEx>
        <w:trPr>
          <w:trHeight w:val="90"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20" w:lineRule="atLeast"/>
              <w:ind w:right="-10" w:rightChars="-5"/>
              <w:jc w:val="left"/>
              <w:rPr>
                <w:sz w:val="18"/>
                <w:szCs w:val="18"/>
              </w:rPr>
            </w:pPr>
            <w:r>
              <w:rPr>
                <w:rFonts w:hint="eastAsia"/>
                <w:sz w:val="18"/>
                <w:szCs w:val="18"/>
              </w:rPr>
              <w:t>尚未使用的募集资金用途及去向</w:t>
            </w:r>
          </w:p>
        </w:tc>
        <w:tc>
          <w:tcPr>
            <w:tcW w:w="3849" w:type="pct"/>
            <w:gridSpan w:val="10"/>
            <w:tcBorders>
              <w:top w:val="single" w:color="auto" w:sz="4" w:space="0"/>
              <w:left w:val="single" w:color="auto" w:sz="4" w:space="0"/>
              <w:bottom w:val="single" w:color="auto" w:sz="4" w:space="0"/>
              <w:right w:val="single" w:color="auto" w:sz="4" w:space="0"/>
            </w:tcBorders>
            <w:vAlign w:val="center"/>
          </w:tcPr>
          <w:p>
            <w:pPr>
              <w:snapToGrid w:val="0"/>
              <w:spacing w:line="220" w:lineRule="atLeast"/>
              <w:ind w:left="-10" w:leftChars="-5" w:right="-10" w:rightChars="-5" w:firstLine="360" w:firstLineChars="200"/>
              <w:rPr>
                <w:sz w:val="18"/>
                <w:szCs w:val="18"/>
              </w:rPr>
            </w:pPr>
            <w:r>
              <w:rPr>
                <w:rFonts w:hint="eastAsia"/>
                <w:sz w:val="18"/>
                <w:szCs w:val="18"/>
              </w:rPr>
              <w:t>截至202</w:t>
            </w:r>
            <w:r>
              <w:rPr>
                <w:sz w:val="18"/>
                <w:szCs w:val="18"/>
              </w:rPr>
              <w:t>3</w:t>
            </w:r>
            <w:r>
              <w:rPr>
                <w:rFonts w:hint="eastAsia"/>
                <w:sz w:val="18"/>
                <w:szCs w:val="18"/>
              </w:rPr>
              <w:t>年</w:t>
            </w:r>
            <w:r>
              <w:rPr>
                <w:sz w:val="18"/>
                <w:szCs w:val="18"/>
              </w:rPr>
              <w:t>6</w:t>
            </w:r>
            <w:r>
              <w:rPr>
                <w:rFonts w:hint="eastAsia"/>
                <w:sz w:val="18"/>
                <w:szCs w:val="18"/>
              </w:rPr>
              <w:t>月3</w:t>
            </w:r>
            <w:r>
              <w:rPr>
                <w:sz w:val="18"/>
                <w:szCs w:val="18"/>
              </w:rPr>
              <w:t>0</w:t>
            </w:r>
            <w:r>
              <w:rPr>
                <w:rFonts w:hint="eastAsia"/>
                <w:sz w:val="18"/>
                <w:szCs w:val="18"/>
              </w:rPr>
              <w:t>日，公司使用闲置募集资金</w:t>
            </w:r>
            <w:r>
              <w:rPr>
                <w:sz w:val="18"/>
                <w:szCs w:val="18"/>
              </w:rPr>
              <w:t>28</w:t>
            </w:r>
            <w:r>
              <w:rPr>
                <w:rFonts w:hint="eastAsia"/>
                <w:sz w:val="18"/>
                <w:szCs w:val="18"/>
              </w:rPr>
              <w:t>,</w:t>
            </w:r>
            <w:r>
              <w:rPr>
                <w:sz w:val="18"/>
                <w:szCs w:val="18"/>
              </w:rPr>
              <w:t>9</w:t>
            </w:r>
            <w:r>
              <w:rPr>
                <w:rFonts w:hint="eastAsia"/>
                <w:sz w:val="18"/>
                <w:szCs w:val="18"/>
              </w:rPr>
              <w:t xml:space="preserve">00万元进行现金管理。截至报告期期末，其他剩余募集资金存放于募集资金专户。 </w:t>
            </w:r>
          </w:p>
        </w:tc>
      </w:tr>
      <w:tr>
        <w:tblPrEx>
          <w:tblCellMar>
            <w:top w:w="0" w:type="dxa"/>
            <w:left w:w="28" w:type="dxa"/>
            <w:bottom w:w="0" w:type="dxa"/>
            <w:right w:w="28" w:type="dxa"/>
          </w:tblCellMar>
        </w:tblPrEx>
        <w:trPr>
          <w:trHeight w:val="397" w:hRule="atLeast"/>
          <w:jc w:val="right"/>
        </w:trPr>
        <w:tc>
          <w:tcPr>
            <w:tcW w:w="1151" w:type="pct"/>
            <w:tcBorders>
              <w:top w:val="single" w:color="auto" w:sz="4" w:space="0"/>
              <w:left w:val="single" w:color="auto" w:sz="4" w:space="0"/>
              <w:bottom w:val="single" w:color="auto" w:sz="4" w:space="0"/>
              <w:right w:val="single" w:color="auto" w:sz="4" w:space="0"/>
            </w:tcBorders>
            <w:shd w:val="clear" w:color="auto" w:fill="DCDCDC"/>
            <w:vAlign w:val="center"/>
          </w:tcPr>
          <w:p>
            <w:pPr>
              <w:snapToGrid w:val="0"/>
              <w:spacing w:line="220" w:lineRule="atLeast"/>
              <w:ind w:left="-10" w:leftChars="-5" w:right="-10" w:rightChars="-5"/>
              <w:rPr>
                <w:sz w:val="18"/>
                <w:szCs w:val="18"/>
              </w:rPr>
            </w:pPr>
            <w:r>
              <w:rPr>
                <w:sz w:val="18"/>
                <w:szCs w:val="18"/>
              </w:rPr>
              <w:t>募集资金使用及披露中存在的问题或其他情况</w:t>
            </w:r>
          </w:p>
        </w:tc>
        <w:tc>
          <w:tcPr>
            <w:tcW w:w="3849" w:type="pct"/>
            <w:gridSpan w:val="10"/>
            <w:tcBorders>
              <w:top w:val="single" w:color="auto" w:sz="4" w:space="0"/>
              <w:left w:val="single" w:color="auto" w:sz="4" w:space="0"/>
              <w:bottom w:val="single" w:color="auto" w:sz="4" w:space="0"/>
              <w:right w:val="single" w:color="auto" w:sz="4" w:space="0"/>
            </w:tcBorders>
            <w:vAlign w:val="center"/>
          </w:tcPr>
          <w:p>
            <w:pPr>
              <w:snapToGrid w:val="0"/>
              <w:spacing w:line="220" w:lineRule="atLeast"/>
              <w:ind w:left="-10" w:leftChars="-5" w:right="-10" w:rightChars="-5"/>
              <w:rPr>
                <w:sz w:val="18"/>
                <w:szCs w:val="18"/>
              </w:rPr>
            </w:pPr>
            <w:r>
              <w:rPr>
                <w:sz w:val="18"/>
                <w:szCs w:val="18"/>
              </w:rPr>
              <w:t>无</w:t>
            </w:r>
          </w:p>
        </w:tc>
      </w:tr>
    </w:tbl>
    <w:p>
      <w:pPr>
        <w:spacing w:line="500" w:lineRule="exact"/>
        <w:ind w:right="482"/>
        <w:jc w:val="left"/>
        <w:rPr>
          <w:b/>
          <w:sz w:val="24"/>
        </w:rPr>
      </w:pPr>
    </w:p>
    <w:p>
      <w:pPr>
        <w:spacing w:line="500" w:lineRule="exact"/>
        <w:ind w:right="482"/>
        <w:jc w:val="left"/>
        <w:rPr>
          <w:b/>
          <w:sz w:val="24"/>
        </w:rPr>
      </w:pPr>
    </w:p>
    <w:p>
      <w:pPr>
        <w:spacing w:line="500" w:lineRule="exact"/>
        <w:ind w:right="482"/>
        <w:jc w:val="left"/>
        <w:rPr>
          <w:b/>
          <w:sz w:val="24"/>
        </w:rPr>
      </w:pPr>
    </w:p>
    <w:p>
      <w:pPr>
        <w:spacing w:line="500" w:lineRule="exact"/>
        <w:ind w:right="482"/>
        <w:jc w:val="left"/>
        <w:rPr>
          <w:b/>
          <w:sz w:val="24"/>
        </w:rPr>
      </w:pPr>
    </w:p>
    <w:p>
      <w:pPr>
        <w:spacing w:line="500" w:lineRule="exact"/>
        <w:ind w:right="482"/>
        <w:jc w:val="left"/>
        <w:rPr>
          <w:b/>
          <w:sz w:val="24"/>
        </w:rPr>
      </w:pPr>
      <w:r>
        <w:rPr>
          <w:b/>
          <w:sz w:val="24"/>
        </w:rPr>
        <w:t>附表2：变更募集资金投资项目情况表</w:t>
      </w:r>
    </w:p>
    <w:p>
      <w:pPr>
        <w:ind w:firstLine="360" w:firstLineChars="200"/>
        <w:jc w:val="right"/>
        <w:rPr>
          <w:color w:val="000000"/>
          <w:szCs w:val="21"/>
        </w:rPr>
      </w:pPr>
      <w:r>
        <w:rPr>
          <w:color w:val="000000"/>
          <w:sz w:val="18"/>
          <w:szCs w:val="18"/>
        </w:rPr>
        <w:t>单位：万元</w:t>
      </w:r>
    </w:p>
    <w:tbl>
      <w:tblPr>
        <w:tblStyle w:val="9"/>
        <w:tblW w:w="5039" w:type="pct"/>
        <w:tblInd w:w="-148" w:type="dxa"/>
        <w:tblLayout w:type="fixed"/>
        <w:tblCellMar>
          <w:top w:w="0" w:type="dxa"/>
          <w:left w:w="28" w:type="dxa"/>
          <w:bottom w:w="0" w:type="dxa"/>
          <w:right w:w="28" w:type="dxa"/>
        </w:tblCellMar>
      </w:tblPr>
      <w:tblGrid>
        <w:gridCol w:w="3086"/>
        <w:gridCol w:w="3086"/>
        <w:gridCol w:w="1249"/>
        <w:gridCol w:w="975"/>
        <w:gridCol w:w="1408"/>
        <w:gridCol w:w="1408"/>
        <w:gridCol w:w="1215"/>
        <w:gridCol w:w="978"/>
        <w:gridCol w:w="782"/>
        <w:gridCol w:w="1386"/>
      </w:tblGrid>
      <w:tr>
        <w:tblPrEx>
          <w:tblCellMar>
            <w:top w:w="0" w:type="dxa"/>
            <w:left w:w="28" w:type="dxa"/>
            <w:bottom w:w="0" w:type="dxa"/>
            <w:right w:w="28" w:type="dxa"/>
          </w:tblCellMar>
        </w:tblPrEx>
        <w:trPr>
          <w:trHeight w:val="397" w:hRule="atLeast"/>
        </w:trPr>
        <w:tc>
          <w:tcPr>
            <w:tcW w:w="991" w:type="pct"/>
            <w:tcBorders>
              <w:top w:val="single" w:color="auto" w:sz="4" w:space="0"/>
              <w:left w:val="single" w:color="auto" w:sz="4" w:space="0"/>
              <w:bottom w:val="single" w:color="auto" w:sz="4" w:space="0"/>
              <w:right w:val="single" w:color="auto" w:sz="4" w:space="0"/>
            </w:tcBorders>
            <w:shd w:val="clear" w:color="auto" w:fill="DCDCDC"/>
            <w:vAlign w:val="center"/>
          </w:tcPr>
          <w:p>
            <w:pPr>
              <w:jc w:val="center"/>
              <w:rPr>
                <w:color w:val="000000"/>
                <w:sz w:val="18"/>
                <w:szCs w:val="18"/>
              </w:rPr>
            </w:pPr>
            <w:r>
              <w:rPr>
                <w:color w:val="000000"/>
                <w:sz w:val="18"/>
                <w:szCs w:val="18"/>
              </w:rPr>
              <w:t>变更后的项目</w:t>
            </w:r>
          </w:p>
        </w:tc>
        <w:tc>
          <w:tcPr>
            <w:tcW w:w="991" w:type="pct"/>
            <w:tcBorders>
              <w:top w:val="single" w:color="auto" w:sz="4" w:space="0"/>
              <w:left w:val="single" w:color="auto" w:sz="4" w:space="0"/>
              <w:bottom w:val="single" w:color="auto" w:sz="4" w:space="0"/>
              <w:right w:val="single" w:color="auto" w:sz="4" w:space="0"/>
            </w:tcBorders>
            <w:shd w:val="clear" w:color="auto" w:fill="DCDCDC"/>
            <w:vAlign w:val="center"/>
          </w:tcPr>
          <w:p>
            <w:pPr>
              <w:jc w:val="center"/>
              <w:rPr>
                <w:color w:val="000000"/>
                <w:sz w:val="18"/>
                <w:szCs w:val="18"/>
              </w:rPr>
            </w:pPr>
            <w:r>
              <w:rPr>
                <w:color w:val="000000"/>
                <w:sz w:val="18"/>
                <w:szCs w:val="18"/>
              </w:rPr>
              <w:t>对应的原承诺项目</w:t>
            </w:r>
          </w:p>
        </w:tc>
        <w:tc>
          <w:tcPr>
            <w:tcW w:w="401" w:type="pct"/>
            <w:tcBorders>
              <w:top w:val="single" w:color="auto" w:sz="4" w:space="0"/>
              <w:left w:val="single" w:color="auto" w:sz="4" w:space="0"/>
              <w:bottom w:val="single" w:color="auto" w:sz="4" w:space="0"/>
              <w:right w:val="single" w:color="auto" w:sz="4" w:space="0"/>
            </w:tcBorders>
            <w:shd w:val="clear" w:color="auto" w:fill="DCDCDC"/>
            <w:vAlign w:val="center"/>
          </w:tcPr>
          <w:p>
            <w:pPr>
              <w:jc w:val="center"/>
              <w:rPr>
                <w:color w:val="000000"/>
                <w:sz w:val="18"/>
                <w:szCs w:val="18"/>
              </w:rPr>
            </w:pPr>
            <w:r>
              <w:rPr>
                <w:color w:val="000000"/>
                <w:sz w:val="18"/>
                <w:szCs w:val="18"/>
              </w:rPr>
              <w:t>变更后项目拟投入募集资金总额(1)</w:t>
            </w:r>
          </w:p>
        </w:tc>
        <w:tc>
          <w:tcPr>
            <w:tcW w:w="313" w:type="pct"/>
            <w:tcBorders>
              <w:top w:val="single" w:color="auto" w:sz="4" w:space="0"/>
              <w:left w:val="single" w:color="auto" w:sz="4" w:space="0"/>
              <w:bottom w:val="single" w:color="auto" w:sz="4" w:space="0"/>
              <w:right w:val="single" w:color="auto" w:sz="4" w:space="0"/>
            </w:tcBorders>
            <w:shd w:val="clear" w:color="auto" w:fill="DCDCDC"/>
            <w:vAlign w:val="center"/>
          </w:tcPr>
          <w:p>
            <w:pPr>
              <w:jc w:val="center"/>
              <w:rPr>
                <w:color w:val="000000"/>
                <w:sz w:val="18"/>
                <w:szCs w:val="18"/>
              </w:rPr>
            </w:pPr>
            <w:r>
              <w:rPr>
                <w:color w:val="000000"/>
                <w:sz w:val="18"/>
                <w:szCs w:val="18"/>
              </w:rPr>
              <w:t>本年度实际投入金额</w:t>
            </w:r>
          </w:p>
        </w:tc>
        <w:tc>
          <w:tcPr>
            <w:tcW w:w="452" w:type="pct"/>
            <w:tcBorders>
              <w:top w:val="single" w:color="auto" w:sz="4" w:space="0"/>
              <w:left w:val="single" w:color="auto" w:sz="4" w:space="0"/>
              <w:bottom w:val="single" w:color="auto" w:sz="4" w:space="0"/>
              <w:right w:val="single" w:color="auto" w:sz="4" w:space="0"/>
            </w:tcBorders>
            <w:shd w:val="clear" w:color="auto" w:fill="DCDCDC"/>
            <w:vAlign w:val="center"/>
          </w:tcPr>
          <w:p>
            <w:pPr>
              <w:jc w:val="center"/>
              <w:rPr>
                <w:color w:val="000000"/>
                <w:sz w:val="18"/>
                <w:szCs w:val="18"/>
              </w:rPr>
            </w:pPr>
            <w:r>
              <w:rPr>
                <w:color w:val="000000"/>
                <w:sz w:val="18"/>
                <w:szCs w:val="18"/>
              </w:rPr>
              <w:t>截至期末实际累计投入金额(2)</w:t>
            </w:r>
          </w:p>
        </w:tc>
        <w:tc>
          <w:tcPr>
            <w:tcW w:w="452" w:type="pct"/>
            <w:tcBorders>
              <w:top w:val="single" w:color="auto" w:sz="4" w:space="0"/>
              <w:left w:val="single" w:color="auto" w:sz="4" w:space="0"/>
              <w:bottom w:val="single" w:color="auto" w:sz="4" w:space="0"/>
              <w:right w:val="single" w:color="auto" w:sz="4" w:space="0"/>
            </w:tcBorders>
            <w:shd w:val="clear" w:color="auto" w:fill="DCDCDC"/>
            <w:vAlign w:val="center"/>
          </w:tcPr>
          <w:p>
            <w:pPr>
              <w:rPr>
                <w:color w:val="000000"/>
                <w:sz w:val="18"/>
                <w:szCs w:val="18"/>
              </w:rPr>
            </w:pPr>
            <w:r>
              <w:rPr>
                <w:color w:val="000000"/>
                <w:sz w:val="18"/>
                <w:szCs w:val="18"/>
              </w:rPr>
              <w:t>截至期末投资进度（%）(3)=(2)/(1)</w:t>
            </w:r>
          </w:p>
        </w:tc>
        <w:tc>
          <w:tcPr>
            <w:tcW w:w="390" w:type="pct"/>
            <w:tcBorders>
              <w:top w:val="single" w:color="auto" w:sz="4" w:space="0"/>
              <w:left w:val="single" w:color="auto" w:sz="4" w:space="0"/>
              <w:bottom w:val="single" w:color="auto" w:sz="4" w:space="0"/>
              <w:right w:val="single" w:color="auto" w:sz="4" w:space="0"/>
            </w:tcBorders>
            <w:shd w:val="clear" w:color="auto" w:fill="DCDCDC"/>
            <w:vAlign w:val="center"/>
          </w:tcPr>
          <w:p>
            <w:pPr>
              <w:jc w:val="center"/>
              <w:rPr>
                <w:color w:val="000000"/>
                <w:sz w:val="18"/>
                <w:szCs w:val="18"/>
              </w:rPr>
            </w:pPr>
            <w:r>
              <w:rPr>
                <w:color w:val="000000"/>
                <w:sz w:val="18"/>
                <w:szCs w:val="18"/>
              </w:rPr>
              <w:t>项目达到预定可使用状态日期</w:t>
            </w:r>
          </w:p>
        </w:tc>
        <w:tc>
          <w:tcPr>
            <w:tcW w:w="314" w:type="pct"/>
            <w:tcBorders>
              <w:top w:val="single" w:color="auto" w:sz="4" w:space="0"/>
              <w:left w:val="single" w:color="auto" w:sz="4" w:space="0"/>
              <w:bottom w:val="single" w:color="auto" w:sz="4" w:space="0"/>
              <w:right w:val="single" w:color="auto" w:sz="4" w:space="0"/>
            </w:tcBorders>
            <w:shd w:val="clear" w:color="auto" w:fill="DCDCDC"/>
            <w:vAlign w:val="center"/>
          </w:tcPr>
          <w:p>
            <w:pPr>
              <w:jc w:val="center"/>
              <w:rPr>
                <w:color w:val="000000"/>
                <w:sz w:val="18"/>
                <w:szCs w:val="18"/>
              </w:rPr>
            </w:pPr>
            <w:r>
              <w:rPr>
                <w:color w:val="000000"/>
                <w:sz w:val="18"/>
                <w:szCs w:val="18"/>
              </w:rPr>
              <w:t>本年度实现的效益</w:t>
            </w:r>
          </w:p>
        </w:tc>
        <w:tc>
          <w:tcPr>
            <w:tcW w:w="251" w:type="pct"/>
            <w:tcBorders>
              <w:top w:val="single" w:color="auto" w:sz="4" w:space="0"/>
              <w:left w:val="single" w:color="auto" w:sz="4" w:space="0"/>
              <w:bottom w:val="single" w:color="auto" w:sz="4" w:space="0"/>
              <w:right w:val="single" w:color="auto" w:sz="4" w:space="0"/>
            </w:tcBorders>
            <w:shd w:val="clear" w:color="auto" w:fill="DCDCDC"/>
            <w:vAlign w:val="center"/>
          </w:tcPr>
          <w:p>
            <w:pPr>
              <w:jc w:val="center"/>
              <w:rPr>
                <w:color w:val="000000"/>
                <w:sz w:val="18"/>
                <w:szCs w:val="18"/>
              </w:rPr>
            </w:pPr>
            <w:r>
              <w:rPr>
                <w:color w:val="000000"/>
                <w:sz w:val="18"/>
                <w:szCs w:val="18"/>
              </w:rPr>
              <w:t>是否达到预计效益</w:t>
            </w:r>
          </w:p>
        </w:tc>
        <w:tc>
          <w:tcPr>
            <w:tcW w:w="445" w:type="pct"/>
            <w:tcBorders>
              <w:top w:val="single" w:color="auto" w:sz="4" w:space="0"/>
              <w:left w:val="single" w:color="auto" w:sz="4" w:space="0"/>
              <w:bottom w:val="single" w:color="auto" w:sz="4" w:space="0"/>
              <w:right w:val="single" w:color="auto" w:sz="4" w:space="0"/>
            </w:tcBorders>
            <w:shd w:val="clear" w:color="auto" w:fill="DCDCDC"/>
            <w:vAlign w:val="center"/>
          </w:tcPr>
          <w:p>
            <w:pPr>
              <w:jc w:val="center"/>
              <w:rPr>
                <w:color w:val="000000"/>
                <w:sz w:val="18"/>
                <w:szCs w:val="18"/>
              </w:rPr>
            </w:pPr>
            <w:r>
              <w:rPr>
                <w:color w:val="000000"/>
                <w:sz w:val="18"/>
                <w:szCs w:val="18"/>
              </w:rPr>
              <w:t>变更后的项目可行性是否发生重大变化</w:t>
            </w:r>
          </w:p>
        </w:tc>
      </w:tr>
      <w:tr>
        <w:tblPrEx>
          <w:tblCellMar>
            <w:top w:w="0" w:type="dxa"/>
            <w:left w:w="28" w:type="dxa"/>
            <w:bottom w:w="0" w:type="dxa"/>
            <w:right w:w="28" w:type="dxa"/>
          </w:tblCellMar>
        </w:tblPrEx>
        <w:trPr>
          <w:trHeight w:val="397" w:hRule="atLeast"/>
        </w:trPr>
        <w:tc>
          <w:tcPr>
            <w:tcW w:w="991" w:type="pct"/>
            <w:tcBorders>
              <w:top w:val="single" w:color="auto" w:sz="4" w:space="0"/>
              <w:left w:val="single" w:color="auto" w:sz="4" w:space="0"/>
              <w:bottom w:val="single" w:color="auto" w:sz="4" w:space="0"/>
              <w:right w:val="single" w:color="auto" w:sz="4" w:space="0"/>
            </w:tcBorders>
            <w:shd w:val="clear" w:color="auto" w:fill="DCDCDC"/>
            <w:vAlign w:val="center"/>
          </w:tcPr>
          <w:p>
            <w:pPr>
              <w:ind w:left="-10" w:leftChars="-5" w:right="-10" w:rightChars="-5"/>
              <w:rPr>
                <w:sz w:val="18"/>
                <w:szCs w:val="18"/>
              </w:rPr>
            </w:pPr>
            <w:r>
              <w:rPr>
                <w:kern w:val="0"/>
                <w:sz w:val="18"/>
                <w:szCs w:val="18"/>
              </w:rPr>
              <w:t>技术研究开发中心扩建项目</w:t>
            </w:r>
          </w:p>
        </w:tc>
        <w:tc>
          <w:tcPr>
            <w:tcW w:w="991" w:type="pct"/>
            <w:tcBorders>
              <w:top w:val="single" w:color="auto" w:sz="4" w:space="0"/>
              <w:left w:val="single" w:color="auto" w:sz="4" w:space="0"/>
              <w:bottom w:val="single" w:color="auto" w:sz="4" w:space="0"/>
              <w:right w:val="single" w:color="auto" w:sz="4" w:space="0"/>
            </w:tcBorders>
            <w:vAlign w:val="center"/>
          </w:tcPr>
          <w:p>
            <w:pPr>
              <w:ind w:left="-10" w:leftChars="-5" w:right="-10" w:rightChars="-5"/>
              <w:rPr>
                <w:sz w:val="18"/>
                <w:szCs w:val="18"/>
              </w:rPr>
            </w:pPr>
            <w:r>
              <w:rPr>
                <w:kern w:val="0"/>
                <w:sz w:val="18"/>
                <w:szCs w:val="18"/>
              </w:rPr>
              <w:t>技术研究开发中心扩建项目</w:t>
            </w: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color w:val="000000"/>
                <w:sz w:val="18"/>
                <w:szCs w:val="18"/>
              </w:rPr>
            </w:pPr>
            <w:r>
              <w:rPr>
                <w:rFonts w:ascii="Times New Roman" w:hAnsi="Times New Roman" w:cs="Times New Roman"/>
                <w:kern w:val="24"/>
                <w:sz w:val="18"/>
                <w:szCs w:val="18"/>
              </w:rPr>
              <w:t>4,472.71</w:t>
            </w:r>
          </w:p>
        </w:tc>
        <w:tc>
          <w:tcPr>
            <w:tcW w:w="313"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3,877.39</w:t>
            </w: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86.69%</w:t>
            </w:r>
            <w:r>
              <w:rPr>
                <w:rFonts w:hint="eastAsia" w:ascii="Times New Roman" w:hAnsi="Times New Roman" w:cs="Times New Roman"/>
                <w:kern w:val="24"/>
                <w:sz w:val="18"/>
                <w:szCs w:val="18"/>
              </w:rPr>
              <w:t>（已结项）</w:t>
            </w:r>
          </w:p>
        </w:tc>
        <w:tc>
          <w:tcPr>
            <w:tcW w:w="390"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2019/6/30</w:t>
            </w:r>
          </w:p>
        </w:tc>
        <w:tc>
          <w:tcPr>
            <w:tcW w:w="314"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highlight w:val="none"/>
              </w:rPr>
            </w:pPr>
            <w:r>
              <w:rPr>
                <w:rFonts w:hint="eastAsia" w:ascii="Times New Roman" w:hAnsi="Times New Roman" w:cs="Times New Roman"/>
                <w:kern w:val="24"/>
                <w:sz w:val="18"/>
                <w:szCs w:val="18"/>
                <w:highlight w:val="none"/>
              </w:rPr>
              <w:t>不适用</w:t>
            </w:r>
          </w:p>
        </w:tc>
        <w:tc>
          <w:tcPr>
            <w:tcW w:w="251" w:type="pct"/>
            <w:tcBorders>
              <w:top w:val="single" w:color="auto" w:sz="4" w:space="0"/>
              <w:left w:val="single" w:color="auto" w:sz="4" w:space="0"/>
              <w:bottom w:val="single" w:color="auto" w:sz="4" w:space="0"/>
              <w:right w:val="single" w:color="auto" w:sz="4" w:space="0"/>
            </w:tcBorders>
            <w:vAlign w:val="center"/>
          </w:tcPr>
          <w:p>
            <w:pPr>
              <w:jc w:val="left"/>
              <w:rPr>
                <w:kern w:val="24"/>
                <w:sz w:val="18"/>
                <w:szCs w:val="18"/>
                <w:highlight w:val="none"/>
              </w:rPr>
            </w:pPr>
            <w:r>
              <w:rPr>
                <w:rFonts w:hint="eastAsia"/>
                <w:kern w:val="24"/>
                <w:sz w:val="18"/>
                <w:szCs w:val="18"/>
                <w:highlight w:val="none"/>
              </w:rPr>
              <w:t>不适用</w:t>
            </w:r>
          </w:p>
        </w:tc>
        <w:tc>
          <w:tcPr>
            <w:tcW w:w="445" w:type="pct"/>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color w:val="000000"/>
                <w:sz w:val="18"/>
                <w:szCs w:val="18"/>
              </w:rPr>
              <w:t>否</w:t>
            </w:r>
          </w:p>
        </w:tc>
      </w:tr>
      <w:tr>
        <w:tblPrEx>
          <w:tblCellMar>
            <w:top w:w="0" w:type="dxa"/>
            <w:left w:w="28" w:type="dxa"/>
            <w:bottom w:w="0" w:type="dxa"/>
            <w:right w:w="28" w:type="dxa"/>
          </w:tblCellMar>
        </w:tblPrEx>
        <w:trPr>
          <w:trHeight w:val="397" w:hRule="atLeast"/>
        </w:trPr>
        <w:tc>
          <w:tcPr>
            <w:tcW w:w="991" w:type="pct"/>
            <w:tcBorders>
              <w:top w:val="single" w:color="auto" w:sz="4" w:space="0"/>
              <w:left w:val="single" w:color="auto" w:sz="4" w:space="0"/>
              <w:bottom w:val="single" w:color="auto" w:sz="4" w:space="0"/>
              <w:right w:val="single" w:color="auto" w:sz="4" w:space="0"/>
            </w:tcBorders>
            <w:shd w:val="clear" w:color="auto" w:fill="DCDCDC"/>
            <w:vAlign w:val="center"/>
          </w:tcPr>
          <w:p>
            <w:pPr>
              <w:ind w:left="-10" w:leftChars="-5" w:right="-10" w:rightChars="-5"/>
              <w:rPr>
                <w:sz w:val="18"/>
                <w:szCs w:val="18"/>
              </w:rPr>
            </w:pPr>
            <w:r>
              <w:rPr>
                <w:kern w:val="0"/>
                <w:sz w:val="18"/>
                <w:szCs w:val="18"/>
              </w:rPr>
              <w:t>年产2.42万吨长玻纤增强聚丙烯车用结构材料（LFT）生产建设项目</w:t>
            </w:r>
          </w:p>
        </w:tc>
        <w:tc>
          <w:tcPr>
            <w:tcW w:w="991" w:type="pct"/>
            <w:tcBorders>
              <w:top w:val="single" w:color="auto" w:sz="4" w:space="0"/>
              <w:left w:val="single" w:color="auto" w:sz="4" w:space="0"/>
              <w:bottom w:val="single" w:color="auto" w:sz="4" w:space="0"/>
              <w:right w:val="single" w:color="auto" w:sz="4" w:space="0"/>
            </w:tcBorders>
            <w:vAlign w:val="center"/>
          </w:tcPr>
          <w:p>
            <w:pPr>
              <w:ind w:left="-10" w:leftChars="-5" w:right="-10" w:rightChars="-5"/>
              <w:rPr>
                <w:sz w:val="18"/>
                <w:szCs w:val="18"/>
              </w:rPr>
            </w:pPr>
            <w:r>
              <w:rPr>
                <w:kern w:val="0"/>
                <w:sz w:val="18"/>
                <w:szCs w:val="18"/>
              </w:rPr>
              <w:t>年产2.4万吨长玻纤增强聚丙烯车用结构材料（LFT）生产建设项目</w:t>
            </w: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color w:val="000000"/>
                <w:sz w:val="18"/>
                <w:szCs w:val="18"/>
              </w:rPr>
            </w:pPr>
            <w:r>
              <w:rPr>
                <w:rFonts w:ascii="Times New Roman" w:hAnsi="Times New Roman" w:cs="Times New Roman"/>
                <w:kern w:val="24"/>
                <w:sz w:val="18"/>
                <w:szCs w:val="18"/>
              </w:rPr>
              <w:t>11,001.22</w:t>
            </w:r>
          </w:p>
        </w:tc>
        <w:tc>
          <w:tcPr>
            <w:tcW w:w="313"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9,084.03</w:t>
            </w: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82.57%</w:t>
            </w:r>
            <w:r>
              <w:rPr>
                <w:rFonts w:hint="eastAsia" w:ascii="Times New Roman" w:hAnsi="Times New Roman" w:cs="Times New Roman"/>
                <w:kern w:val="24"/>
                <w:sz w:val="18"/>
                <w:szCs w:val="18"/>
              </w:rPr>
              <w:t>（已结项）</w:t>
            </w:r>
          </w:p>
        </w:tc>
        <w:tc>
          <w:tcPr>
            <w:tcW w:w="390"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2018/12/31</w:t>
            </w:r>
          </w:p>
        </w:tc>
        <w:tc>
          <w:tcPr>
            <w:tcW w:w="314"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highlight w:val="none"/>
              </w:rPr>
            </w:pPr>
            <w:r>
              <w:rPr>
                <w:rFonts w:hint="eastAsia"/>
                <w:kern w:val="24"/>
                <w:sz w:val="18"/>
                <w:szCs w:val="18"/>
                <w:highlight w:val="none"/>
              </w:rPr>
              <w:t>657.13</w:t>
            </w:r>
          </w:p>
        </w:tc>
        <w:tc>
          <w:tcPr>
            <w:tcW w:w="251" w:type="pct"/>
            <w:tcBorders>
              <w:top w:val="single" w:color="auto" w:sz="4" w:space="0"/>
              <w:left w:val="single" w:color="auto" w:sz="4" w:space="0"/>
              <w:bottom w:val="single" w:color="auto" w:sz="4" w:space="0"/>
              <w:right w:val="single" w:color="auto" w:sz="4" w:space="0"/>
            </w:tcBorders>
            <w:vAlign w:val="center"/>
          </w:tcPr>
          <w:p>
            <w:pPr>
              <w:jc w:val="left"/>
              <w:rPr>
                <w:kern w:val="24"/>
                <w:sz w:val="18"/>
                <w:szCs w:val="18"/>
                <w:highlight w:val="none"/>
              </w:rPr>
            </w:pPr>
            <w:r>
              <w:rPr>
                <w:rFonts w:hint="eastAsia"/>
                <w:kern w:val="24"/>
                <w:sz w:val="18"/>
                <w:szCs w:val="18"/>
                <w:highlight w:val="none"/>
              </w:rPr>
              <w:t>不适用</w:t>
            </w:r>
          </w:p>
        </w:tc>
        <w:tc>
          <w:tcPr>
            <w:tcW w:w="445" w:type="pct"/>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color w:val="000000"/>
                <w:sz w:val="18"/>
                <w:szCs w:val="18"/>
              </w:rPr>
              <w:t>否</w:t>
            </w:r>
          </w:p>
        </w:tc>
      </w:tr>
      <w:tr>
        <w:tblPrEx>
          <w:tblCellMar>
            <w:top w:w="0" w:type="dxa"/>
            <w:left w:w="28" w:type="dxa"/>
            <w:bottom w:w="0" w:type="dxa"/>
            <w:right w:w="28" w:type="dxa"/>
          </w:tblCellMar>
        </w:tblPrEx>
        <w:trPr>
          <w:trHeight w:val="90" w:hRule="atLeast"/>
        </w:trPr>
        <w:tc>
          <w:tcPr>
            <w:tcW w:w="991" w:type="pct"/>
            <w:tcBorders>
              <w:top w:val="single" w:color="auto" w:sz="4" w:space="0"/>
              <w:left w:val="single" w:color="auto" w:sz="4" w:space="0"/>
              <w:bottom w:val="single" w:color="auto" w:sz="4" w:space="0"/>
              <w:right w:val="single" w:color="auto" w:sz="4" w:space="0"/>
            </w:tcBorders>
            <w:shd w:val="clear" w:color="auto" w:fill="DCDCDC"/>
            <w:vAlign w:val="center"/>
          </w:tcPr>
          <w:p>
            <w:pPr>
              <w:ind w:left="-10" w:leftChars="-5" w:right="-10" w:rightChars="-5"/>
              <w:rPr>
                <w:sz w:val="18"/>
                <w:szCs w:val="18"/>
              </w:rPr>
            </w:pPr>
            <w:r>
              <w:rPr>
                <w:kern w:val="0"/>
                <w:sz w:val="18"/>
                <w:szCs w:val="18"/>
              </w:rPr>
              <w:t>年产3.2886万吨高性能改性尼龙（PA）生产建设项目</w:t>
            </w:r>
          </w:p>
        </w:tc>
        <w:tc>
          <w:tcPr>
            <w:tcW w:w="991" w:type="pct"/>
            <w:tcBorders>
              <w:top w:val="single" w:color="auto" w:sz="4" w:space="0"/>
              <w:left w:val="single" w:color="auto" w:sz="4" w:space="0"/>
              <w:bottom w:val="single" w:color="auto" w:sz="4" w:space="0"/>
              <w:right w:val="single" w:color="auto" w:sz="4" w:space="0"/>
            </w:tcBorders>
            <w:vAlign w:val="center"/>
          </w:tcPr>
          <w:p>
            <w:pPr>
              <w:ind w:left="-10" w:leftChars="-5" w:right="-10" w:rightChars="-5"/>
              <w:rPr>
                <w:sz w:val="18"/>
                <w:szCs w:val="18"/>
              </w:rPr>
            </w:pPr>
            <w:r>
              <w:rPr>
                <w:kern w:val="0"/>
                <w:sz w:val="18"/>
                <w:szCs w:val="18"/>
              </w:rPr>
              <w:t>年产6.6万吨高性能改性尼龙（PA）生产建设项目</w:t>
            </w: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18,419.67</w:t>
            </w:r>
          </w:p>
        </w:tc>
        <w:tc>
          <w:tcPr>
            <w:tcW w:w="313"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15,951.35</w:t>
            </w: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86.60%</w:t>
            </w:r>
            <w:r>
              <w:rPr>
                <w:rFonts w:hint="eastAsia" w:ascii="Times New Roman" w:hAnsi="Times New Roman" w:cs="Times New Roman"/>
                <w:kern w:val="24"/>
                <w:sz w:val="18"/>
                <w:szCs w:val="18"/>
              </w:rPr>
              <w:t>（已结项）</w:t>
            </w:r>
          </w:p>
        </w:tc>
        <w:tc>
          <w:tcPr>
            <w:tcW w:w="390"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2018/12/31</w:t>
            </w:r>
          </w:p>
        </w:tc>
        <w:tc>
          <w:tcPr>
            <w:tcW w:w="314"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highlight w:val="none"/>
              </w:rPr>
            </w:pPr>
            <w:r>
              <w:rPr>
                <w:rFonts w:hint="eastAsia"/>
                <w:kern w:val="24"/>
                <w:sz w:val="18"/>
                <w:szCs w:val="18"/>
                <w:highlight w:val="none"/>
              </w:rPr>
              <w:t>593.36</w:t>
            </w:r>
          </w:p>
        </w:tc>
        <w:tc>
          <w:tcPr>
            <w:tcW w:w="251" w:type="pct"/>
            <w:tcBorders>
              <w:top w:val="single" w:color="auto" w:sz="4" w:space="0"/>
              <w:left w:val="single" w:color="auto" w:sz="4" w:space="0"/>
              <w:bottom w:val="single" w:color="auto" w:sz="4" w:space="0"/>
              <w:right w:val="single" w:color="auto" w:sz="4" w:space="0"/>
            </w:tcBorders>
            <w:vAlign w:val="center"/>
          </w:tcPr>
          <w:p>
            <w:pPr>
              <w:jc w:val="left"/>
              <w:rPr>
                <w:kern w:val="24"/>
                <w:sz w:val="18"/>
                <w:szCs w:val="18"/>
                <w:highlight w:val="none"/>
              </w:rPr>
            </w:pPr>
            <w:r>
              <w:rPr>
                <w:rFonts w:hint="eastAsia"/>
                <w:kern w:val="24"/>
                <w:sz w:val="18"/>
                <w:szCs w:val="18"/>
                <w:highlight w:val="none"/>
              </w:rPr>
              <w:t>不适用</w:t>
            </w:r>
          </w:p>
        </w:tc>
        <w:tc>
          <w:tcPr>
            <w:tcW w:w="445" w:type="pct"/>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color w:val="000000"/>
                <w:sz w:val="18"/>
                <w:szCs w:val="18"/>
              </w:rPr>
              <w:t>否</w:t>
            </w:r>
          </w:p>
        </w:tc>
      </w:tr>
      <w:tr>
        <w:tblPrEx>
          <w:tblCellMar>
            <w:top w:w="0" w:type="dxa"/>
            <w:left w:w="28" w:type="dxa"/>
            <w:bottom w:w="0" w:type="dxa"/>
            <w:right w:w="28" w:type="dxa"/>
          </w:tblCellMar>
        </w:tblPrEx>
        <w:trPr>
          <w:trHeight w:val="90" w:hRule="atLeast"/>
        </w:trPr>
        <w:tc>
          <w:tcPr>
            <w:tcW w:w="991" w:type="pct"/>
            <w:tcBorders>
              <w:top w:val="single" w:color="auto" w:sz="4" w:space="0"/>
              <w:left w:val="single" w:color="auto" w:sz="4" w:space="0"/>
              <w:bottom w:val="single" w:color="auto" w:sz="4" w:space="0"/>
              <w:right w:val="single" w:color="auto" w:sz="4" w:space="0"/>
            </w:tcBorders>
            <w:shd w:val="clear" w:color="auto" w:fill="DCDCDC"/>
            <w:vAlign w:val="center"/>
          </w:tcPr>
          <w:p>
            <w:pPr>
              <w:ind w:left="-10" w:leftChars="-5" w:right="-10" w:rightChars="-5"/>
              <w:rPr>
                <w:sz w:val="18"/>
                <w:szCs w:val="18"/>
              </w:rPr>
            </w:pPr>
            <w:r>
              <w:rPr>
                <w:kern w:val="0"/>
                <w:sz w:val="18"/>
                <w:szCs w:val="18"/>
              </w:rPr>
              <w:t>年产1.6133万吨高性能改性聚碳酸脂（PC）生产建设项目</w:t>
            </w:r>
          </w:p>
        </w:tc>
        <w:tc>
          <w:tcPr>
            <w:tcW w:w="991" w:type="pct"/>
            <w:tcBorders>
              <w:top w:val="single" w:color="auto" w:sz="4" w:space="0"/>
              <w:left w:val="single" w:color="auto" w:sz="4" w:space="0"/>
              <w:bottom w:val="single" w:color="auto" w:sz="4" w:space="0"/>
              <w:right w:val="single" w:color="auto" w:sz="4" w:space="0"/>
            </w:tcBorders>
            <w:vAlign w:val="center"/>
          </w:tcPr>
          <w:p>
            <w:pPr>
              <w:ind w:left="-10" w:leftChars="-5" w:right="-10" w:rightChars="-5"/>
              <w:rPr>
                <w:sz w:val="18"/>
                <w:szCs w:val="18"/>
              </w:rPr>
            </w:pPr>
            <w:r>
              <w:rPr>
                <w:kern w:val="0"/>
                <w:sz w:val="18"/>
                <w:szCs w:val="18"/>
              </w:rPr>
              <w:t>年产3万吨高性能改性聚碳酸脂（PC）生产建设项目</w:t>
            </w: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7,848.76</w:t>
            </w:r>
          </w:p>
        </w:tc>
        <w:tc>
          <w:tcPr>
            <w:tcW w:w="313"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6,713.71</w:t>
            </w: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85.54%</w:t>
            </w:r>
            <w:r>
              <w:rPr>
                <w:rFonts w:hint="eastAsia" w:ascii="Times New Roman" w:hAnsi="Times New Roman" w:cs="Times New Roman"/>
                <w:kern w:val="24"/>
                <w:sz w:val="18"/>
                <w:szCs w:val="18"/>
              </w:rPr>
              <w:t>（已结项）</w:t>
            </w:r>
          </w:p>
        </w:tc>
        <w:tc>
          <w:tcPr>
            <w:tcW w:w="390"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2018/12/31</w:t>
            </w:r>
          </w:p>
        </w:tc>
        <w:tc>
          <w:tcPr>
            <w:tcW w:w="314"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highlight w:val="none"/>
              </w:rPr>
            </w:pPr>
            <w:r>
              <w:rPr>
                <w:rFonts w:hint="eastAsia"/>
                <w:kern w:val="24"/>
                <w:sz w:val="18"/>
                <w:szCs w:val="18"/>
                <w:highlight w:val="none"/>
              </w:rPr>
              <w:t>375.04</w:t>
            </w:r>
          </w:p>
        </w:tc>
        <w:tc>
          <w:tcPr>
            <w:tcW w:w="251" w:type="pct"/>
            <w:tcBorders>
              <w:top w:val="single" w:color="auto" w:sz="4" w:space="0"/>
              <w:left w:val="single" w:color="auto" w:sz="4" w:space="0"/>
              <w:bottom w:val="single" w:color="auto" w:sz="4" w:space="0"/>
              <w:right w:val="single" w:color="auto" w:sz="4" w:space="0"/>
            </w:tcBorders>
            <w:vAlign w:val="center"/>
          </w:tcPr>
          <w:p>
            <w:pPr>
              <w:jc w:val="left"/>
              <w:rPr>
                <w:kern w:val="24"/>
                <w:sz w:val="18"/>
                <w:szCs w:val="18"/>
                <w:highlight w:val="none"/>
              </w:rPr>
            </w:pPr>
            <w:r>
              <w:rPr>
                <w:rFonts w:hint="eastAsia"/>
                <w:kern w:val="24"/>
                <w:sz w:val="18"/>
                <w:szCs w:val="18"/>
                <w:highlight w:val="none"/>
              </w:rPr>
              <w:t>不适用</w:t>
            </w:r>
          </w:p>
        </w:tc>
        <w:tc>
          <w:tcPr>
            <w:tcW w:w="445" w:type="pct"/>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color w:val="000000"/>
                <w:sz w:val="18"/>
                <w:szCs w:val="18"/>
              </w:rPr>
              <w:t>否</w:t>
            </w:r>
          </w:p>
        </w:tc>
      </w:tr>
      <w:tr>
        <w:tblPrEx>
          <w:tblCellMar>
            <w:top w:w="0" w:type="dxa"/>
            <w:left w:w="28" w:type="dxa"/>
            <w:bottom w:w="0" w:type="dxa"/>
            <w:right w:w="28" w:type="dxa"/>
          </w:tblCellMar>
        </w:tblPrEx>
        <w:trPr>
          <w:trHeight w:val="397" w:hRule="atLeast"/>
        </w:trPr>
        <w:tc>
          <w:tcPr>
            <w:tcW w:w="991" w:type="pct"/>
            <w:tcBorders>
              <w:top w:val="single" w:color="auto" w:sz="4" w:space="0"/>
              <w:left w:val="single" w:color="auto" w:sz="4" w:space="0"/>
              <w:bottom w:val="single" w:color="auto" w:sz="4" w:space="0"/>
              <w:right w:val="single" w:color="auto" w:sz="4" w:space="0"/>
            </w:tcBorders>
            <w:shd w:val="clear" w:color="auto" w:fill="DCDCDC"/>
            <w:vAlign w:val="center"/>
          </w:tcPr>
          <w:p>
            <w:pPr>
              <w:ind w:left="-10" w:leftChars="-5" w:right="-10" w:rightChars="-5"/>
              <w:rPr>
                <w:sz w:val="18"/>
                <w:szCs w:val="18"/>
              </w:rPr>
            </w:pPr>
            <w:r>
              <w:rPr>
                <w:kern w:val="0"/>
                <w:sz w:val="18"/>
                <w:szCs w:val="18"/>
              </w:rPr>
              <w:t>5.864万吨高聚物材料新建项目</w:t>
            </w:r>
          </w:p>
        </w:tc>
        <w:tc>
          <w:tcPr>
            <w:tcW w:w="991" w:type="pct"/>
            <w:tcBorders>
              <w:top w:val="single" w:color="auto" w:sz="4" w:space="0"/>
              <w:left w:val="single" w:color="auto" w:sz="4" w:space="0"/>
              <w:bottom w:val="single" w:color="auto" w:sz="4" w:space="0"/>
              <w:right w:val="single" w:color="auto" w:sz="4" w:space="0"/>
            </w:tcBorders>
            <w:vAlign w:val="center"/>
          </w:tcPr>
          <w:p>
            <w:pPr>
              <w:ind w:left="-10" w:leftChars="-5" w:right="-10" w:rightChars="-5"/>
              <w:rPr>
                <w:sz w:val="18"/>
                <w:szCs w:val="18"/>
              </w:rPr>
            </w:pPr>
            <w:r>
              <w:rPr>
                <w:kern w:val="0"/>
                <w:sz w:val="18"/>
                <w:szCs w:val="18"/>
              </w:rPr>
              <w:t>13.485万吨高聚物材料新建项目</w:t>
            </w: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34,165.17</w:t>
            </w:r>
          </w:p>
        </w:tc>
        <w:tc>
          <w:tcPr>
            <w:tcW w:w="313"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31,326.45</w:t>
            </w: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91.69%</w:t>
            </w:r>
            <w:r>
              <w:rPr>
                <w:rFonts w:hint="eastAsia" w:ascii="Times New Roman" w:hAnsi="Times New Roman" w:cs="Times New Roman"/>
                <w:kern w:val="24"/>
                <w:sz w:val="18"/>
                <w:szCs w:val="18"/>
              </w:rPr>
              <w:t>（已结项）</w:t>
            </w:r>
          </w:p>
        </w:tc>
        <w:tc>
          <w:tcPr>
            <w:tcW w:w="390"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2019/12/31</w:t>
            </w:r>
          </w:p>
        </w:tc>
        <w:tc>
          <w:tcPr>
            <w:tcW w:w="314"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highlight w:val="none"/>
              </w:rPr>
            </w:pPr>
            <w:r>
              <w:rPr>
                <w:rFonts w:hint="eastAsia"/>
                <w:kern w:val="24"/>
                <w:sz w:val="18"/>
                <w:szCs w:val="18"/>
                <w:highlight w:val="none"/>
              </w:rPr>
              <w:t>316.13</w:t>
            </w:r>
          </w:p>
        </w:tc>
        <w:tc>
          <w:tcPr>
            <w:tcW w:w="251" w:type="pct"/>
            <w:tcBorders>
              <w:top w:val="single" w:color="auto" w:sz="4" w:space="0"/>
              <w:left w:val="single" w:color="auto" w:sz="4" w:space="0"/>
              <w:bottom w:val="single" w:color="auto" w:sz="4" w:space="0"/>
              <w:right w:val="single" w:color="auto" w:sz="4" w:space="0"/>
            </w:tcBorders>
            <w:vAlign w:val="center"/>
          </w:tcPr>
          <w:p>
            <w:pPr>
              <w:jc w:val="left"/>
              <w:rPr>
                <w:kern w:val="24"/>
                <w:sz w:val="18"/>
                <w:szCs w:val="18"/>
                <w:highlight w:val="none"/>
              </w:rPr>
            </w:pPr>
            <w:r>
              <w:rPr>
                <w:rFonts w:hint="eastAsia"/>
                <w:kern w:val="24"/>
                <w:sz w:val="18"/>
                <w:szCs w:val="18"/>
                <w:highlight w:val="none"/>
              </w:rPr>
              <w:t>不适用</w:t>
            </w:r>
          </w:p>
        </w:tc>
        <w:tc>
          <w:tcPr>
            <w:tcW w:w="445" w:type="pct"/>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color w:val="000000"/>
                <w:sz w:val="18"/>
                <w:szCs w:val="18"/>
              </w:rPr>
              <w:t>否</w:t>
            </w:r>
          </w:p>
        </w:tc>
      </w:tr>
      <w:tr>
        <w:tblPrEx>
          <w:tblCellMar>
            <w:top w:w="0" w:type="dxa"/>
            <w:left w:w="28" w:type="dxa"/>
            <w:bottom w:w="0" w:type="dxa"/>
            <w:right w:w="28" w:type="dxa"/>
          </w:tblCellMar>
        </w:tblPrEx>
        <w:trPr>
          <w:trHeight w:val="397" w:hRule="atLeast"/>
        </w:trPr>
        <w:tc>
          <w:tcPr>
            <w:tcW w:w="991" w:type="pct"/>
            <w:tcBorders>
              <w:top w:val="single" w:color="auto" w:sz="4" w:space="0"/>
              <w:left w:val="single" w:color="auto" w:sz="4" w:space="0"/>
              <w:bottom w:val="single" w:color="auto" w:sz="4" w:space="0"/>
              <w:right w:val="single" w:color="auto" w:sz="4" w:space="0"/>
            </w:tcBorders>
            <w:shd w:val="clear" w:color="auto" w:fill="DCDCDC"/>
            <w:vAlign w:val="center"/>
          </w:tcPr>
          <w:p>
            <w:pPr>
              <w:ind w:left="-10" w:leftChars="-5" w:right="-10" w:rightChars="-5"/>
              <w:rPr>
                <w:kern w:val="0"/>
                <w:sz w:val="18"/>
                <w:szCs w:val="18"/>
              </w:rPr>
            </w:pPr>
            <w:r>
              <w:rPr>
                <w:kern w:val="0"/>
                <w:sz w:val="18"/>
                <w:szCs w:val="18"/>
              </w:rPr>
              <w:t>10万吨高聚物材料新建项目</w:t>
            </w:r>
          </w:p>
        </w:tc>
        <w:tc>
          <w:tcPr>
            <w:tcW w:w="991" w:type="pct"/>
            <w:tcBorders>
              <w:top w:val="single" w:color="auto" w:sz="4" w:space="0"/>
              <w:left w:val="single" w:color="auto" w:sz="4" w:space="0"/>
              <w:bottom w:val="single" w:color="auto" w:sz="4" w:space="0"/>
              <w:right w:val="single" w:color="auto" w:sz="4" w:space="0"/>
            </w:tcBorders>
            <w:vAlign w:val="center"/>
          </w:tcPr>
          <w:p>
            <w:pPr>
              <w:ind w:left="-10" w:leftChars="-5" w:right="-10" w:rightChars="-5"/>
              <w:rPr>
                <w:kern w:val="0"/>
                <w:sz w:val="18"/>
                <w:szCs w:val="18"/>
              </w:rPr>
            </w:pPr>
            <w:r>
              <w:rPr>
                <w:kern w:val="0"/>
                <w:sz w:val="18"/>
                <w:szCs w:val="18"/>
              </w:rPr>
              <w:t>10万吨高聚物材料新建项目</w:t>
            </w: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36,944.36</w:t>
            </w:r>
          </w:p>
        </w:tc>
        <w:tc>
          <w:tcPr>
            <w:tcW w:w="313"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4,246.74</w:t>
            </w: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7,633.12</w:t>
            </w: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20.66%</w:t>
            </w:r>
          </w:p>
        </w:tc>
        <w:tc>
          <w:tcPr>
            <w:tcW w:w="390"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2024/3/31</w:t>
            </w:r>
          </w:p>
        </w:tc>
        <w:tc>
          <w:tcPr>
            <w:tcW w:w="314" w:type="pct"/>
            <w:tcBorders>
              <w:top w:val="single" w:color="auto" w:sz="4" w:space="0"/>
              <w:left w:val="single" w:color="auto" w:sz="4" w:space="0"/>
              <w:bottom w:val="single" w:color="auto" w:sz="4" w:space="0"/>
              <w:right w:val="single" w:color="auto" w:sz="4" w:space="0"/>
            </w:tcBorders>
            <w:vAlign w:val="center"/>
          </w:tcPr>
          <w:p>
            <w:pPr>
              <w:jc w:val="right"/>
              <w:rPr>
                <w:kern w:val="24"/>
                <w:sz w:val="18"/>
                <w:szCs w:val="18"/>
                <w:highlight w:val="none"/>
              </w:rPr>
            </w:pPr>
            <w:r>
              <w:rPr>
                <w:rFonts w:hint="eastAsia"/>
                <w:kern w:val="24"/>
                <w:sz w:val="18"/>
                <w:szCs w:val="18"/>
                <w:highlight w:val="none"/>
              </w:rPr>
              <w:t>不适用</w:t>
            </w:r>
          </w:p>
        </w:tc>
        <w:tc>
          <w:tcPr>
            <w:tcW w:w="251" w:type="pct"/>
            <w:tcBorders>
              <w:top w:val="single" w:color="auto" w:sz="4" w:space="0"/>
              <w:left w:val="single" w:color="auto" w:sz="4" w:space="0"/>
              <w:bottom w:val="single" w:color="auto" w:sz="4" w:space="0"/>
              <w:right w:val="single" w:color="auto" w:sz="4" w:space="0"/>
            </w:tcBorders>
            <w:vAlign w:val="center"/>
          </w:tcPr>
          <w:p>
            <w:pPr>
              <w:jc w:val="left"/>
              <w:rPr>
                <w:kern w:val="24"/>
                <w:sz w:val="18"/>
                <w:szCs w:val="18"/>
                <w:highlight w:val="none"/>
              </w:rPr>
            </w:pPr>
            <w:r>
              <w:rPr>
                <w:rFonts w:hint="eastAsia"/>
                <w:kern w:val="24"/>
                <w:sz w:val="18"/>
                <w:szCs w:val="18"/>
                <w:highlight w:val="none"/>
              </w:rPr>
              <w:t>不适用</w:t>
            </w:r>
          </w:p>
        </w:tc>
        <w:tc>
          <w:tcPr>
            <w:tcW w:w="445" w:type="pct"/>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否</w:t>
            </w:r>
          </w:p>
        </w:tc>
      </w:tr>
      <w:tr>
        <w:tblPrEx>
          <w:tblCellMar>
            <w:top w:w="0" w:type="dxa"/>
            <w:left w:w="28" w:type="dxa"/>
            <w:bottom w:w="0" w:type="dxa"/>
            <w:right w:w="28" w:type="dxa"/>
          </w:tblCellMar>
        </w:tblPrEx>
        <w:trPr>
          <w:trHeight w:val="397" w:hRule="atLeast"/>
        </w:trPr>
        <w:tc>
          <w:tcPr>
            <w:tcW w:w="991" w:type="pct"/>
            <w:tcBorders>
              <w:top w:val="single" w:color="auto" w:sz="4" w:space="0"/>
              <w:left w:val="single" w:color="auto" w:sz="4" w:space="0"/>
              <w:bottom w:val="single" w:color="auto" w:sz="4" w:space="0"/>
              <w:right w:val="single" w:color="auto" w:sz="4" w:space="0"/>
            </w:tcBorders>
            <w:shd w:val="clear" w:color="auto" w:fill="DCDCDC"/>
            <w:vAlign w:val="center"/>
          </w:tcPr>
          <w:p>
            <w:pPr>
              <w:ind w:left="-10" w:leftChars="-5" w:right="-10" w:rightChars="-5"/>
              <w:rPr>
                <w:sz w:val="18"/>
                <w:szCs w:val="18"/>
              </w:rPr>
            </w:pPr>
            <w:r>
              <w:rPr>
                <w:kern w:val="0"/>
                <w:sz w:val="18"/>
                <w:szCs w:val="18"/>
              </w:rPr>
              <w:t>5.239万吨高聚物材料新建项目</w:t>
            </w:r>
          </w:p>
        </w:tc>
        <w:tc>
          <w:tcPr>
            <w:tcW w:w="991" w:type="pct"/>
            <w:tcBorders>
              <w:top w:val="single" w:color="auto" w:sz="4" w:space="0"/>
              <w:left w:val="single" w:color="auto" w:sz="4" w:space="0"/>
              <w:bottom w:val="single" w:color="auto" w:sz="4" w:space="0"/>
              <w:right w:val="single" w:color="auto" w:sz="4" w:space="0"/>
            </w:tcBorders>
            <w:vAlign w:val="center"/>
          </w:tcPr>
          <w:p>
            <w:pPr>
              <w:ind w:left="-10" w:leftChars="-5" w:right="-10" w:rightChars="-5"/>
              <w:rPr>
                <w:sz w:val="18"/>
                <w:szCs w:val="18"/>
              </w:rPr>
            </w:pPr>
            <w:r>
              <w:rPr>
                <w:kern w:val="0"/>
                <w:sz w:val="18"/>
                <w:szCs w:val="18"/>
              </w:rPr>
              <w:t>18万吨高聚物材料新建项目</w:t>
            </w:r>
          </w:p>
        </w:tc>
        <w:tc>
          <w:tcPr>
            <w:tcW w:w="401"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sz w:val="18"/>
                <w:szCs w:val="18"/>
              </w:rPr>
            </w:pPr>
            <w:r>
              <w:rPr>
                <w:rFonts w:ascii="Times New Roman" w:hAnsi="Times New Roman" w:cs="Times New Roman"/>
                <w:kern w:val="24"/>
                <w:sz w:val="18"/>
                <w:szCs w:val="18"/>
              </w:rPr>
              <w:t>39,052.25</w:t>
            </w:r>
          </w:p>
        </w:tc>
        <w:tc>
          <w:tcPr>
            <w:tcW w:w="313"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33,022.57</w:t>
            </w: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84.56%</w:t>
            </w:r>
            <w:r>
              <w:rPr>
                <w:rFonts w:hint="eastAsia" w:ascii="Times New Roman" w:hAnsi="Times New Roman" w:cs="Times New Roman"/>
                <w:kern w:val="24"/>
                <w:sz w:val="18"/>
                <w:szCs w:val="18"/>
              </w:rPr>
              <w:t>（已结项）</w:t>
            </w:r>
          </w:p>
        </w:tc>
        <w:tc>
          <w:tcPr>
            <w:tcW w:w="390"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textAlignment w:val="center"/>
              <w:rPr>
                <w:rFonts w:ascii="Times New Roman" w:hAnsi="Times New Roman" w:cs="Times New Roman"/>
                <w:kern w:val="24"/>
                <w:sz w:val="18"/>
                <w:szCs w:val="18"/>
              </w:rPr>
            </w:pPr>
            <w:r>
              <w:rPr>
                <w:rFonts w:ascii="Times New Roman" w:hAnsi="Times New Roman" w:cs="Times New Roman"/>
                <w:kern w:val="24"/>
                <w:sz w:val="18"/>
                <w:szCs w:val="18"/>
              </w:rPr>
              <w:t>2020/6/30</w:t>
            </w:r>
          </w:p>
        </w:tc>
        <w:tc>
          <w:tcPr>
            <w:tcW w:w="314" w:type="pct"/>
            <w:tcBorders>
              <w:top w:val="single" w:color="auto" w:sz="4" w:space="0"/>
              <w:left w:val="single" w:color="auto" w:sz="4" w:space="0"/>
              <w:bottom w:val="single" w:color="auto" w:sz="4" w:space="0"/>
              <w:right w:val="single" w:color="auto" w:sz="4" w:space="0"/>
            </w:tcBorders>
            <w:vAlign w:val="center"/>
          </w:tcPr>
          <w:p>
            <w:pPr>
              <w:jc w:val="right"/>
              <w:rPr>
                <w:rFonts w:hint="default" w:eastAsia="宋体"/>
                <w:kern w:val="24"/>
                <w:sz w:val="18"/>
                <w:szCs w:val="18"/>
                <w:highlight w:val="none"/>
                <w:lang w:val="en-US" w:eastAsia="zh-CN"/>
              </w:rPr>
            </w:pPr>
            <w:r>
              <w:rPr>
                <w:rFonts w:hint="eastAsia"/>
                <w:kern w:val="24"/>
                <w:sz w:val="18"/>
                <w:szCs w:val="18"/>
                <w:highlight w:val="none"/>
                <w:lang w:val="en-US" w:eastAsia="zh-CN"/>
              </w:rPr>
              <w:t>20.00</w:t>
            </w:r>
          </w:p>
        </w:tc>
        <w:tc>
          <w:tcPr>
            <w:tcW w:w="251" w:type="pct"/>
            <w:tcBorders>
              <w:top w:val="single" w:color="auto" w:sz="4" w:space="0"/>
              <w:left w:val="single" w:color="auto" w:sz="4" w:space="0"/>
              <w:bottom w:val="single" w:color="auto" w:sz="4" w:space="0"/>
              <w:right w:val="single" w:color="auto" w:sz="4" w:space="0"/>
            </w:tcBorders>
            <w:vAlign w:val="center"/>
          </w:tcPr>
          <w:p>
            <w:pPr>
              <w:jc w:val="left"/>
              <w:rPr>
                <w:kern w:val="24"/>
                <w:sz w:val="18"/>
                <w:szCs w:val="18"/>
                <w:highlight w:val="none"/>
              </w:rPr>
            </w:pPr>
            <w:r>
              <w:rPr>
                <w:rFonts w:hint="eastAsia"/>
                <w:kern w:val="24"/>
                <w:sz w:val="18"/>
                <w:szCs w:val="18"/>
                <w:highlight w:val="none"/>
              </w:rPr>
              <w:t>不适用</w:t>
            </w:r>
          </w:p>
        </w:tc>
        <w:tc>
          <w:tcPr>
            <w:tcW w:w="445" w:type="pct"/>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color w:val="000000"/>
                <w:sz w:val="18"/>
                <w:szCs w:val="18"/>
              </w:rPr>
              <w:t>否</w:t>
            </w:r>
          </w:p>
        </w:tc>
      </w:tr>
      <w:tr>
        <w:tblPrEx>
          <w:tblCellMar>
            <w:top w:w="0" w:type="dxa"/>
            <w:left w:w="28" w:type="dxa"/>
            <w:bottom w:w="0" w:type="dxa"/>
            <w:right w:w="28" w:type="dxa"/>
          </w:tblCellMar>
        </w:tblPrEx>
        <w:trPr>
          <w:trHeight w:val="302" w:hRule="atLeast"/>
        </w:trPr>
        <w:tc>
          <w:tcPr>
            <w:tcW w:w="991" w:type="pct"/>
            <w:tcBorders>
              <w:top w:val="single" w:color="auto" w:sz="4" w:space="0"/>
              <w:left w:val="single" w:color="auto" w:sz="4" w:space="0"/>
              <w:bottom w:val="single" w:color="auto" w:sz="4" w:space="0"/>
              <w:right w:val="single" w:color="auto" w:sz="4" w:space="0"/>
            </w:tcBorders>
            <w:shd w:val="clear" w:color="auto" w:fill="DCDCDC"/>
            <w:vAlign w:val="center"/>
          </w:tcPr>
          <w:p>
            <w:pPr>
              <w:ind w:left="-10" w:leftChars="-5" w:right="-10" w:rightChars="-5"/>
              <w:rPr>
                <w:kern w:val="0"/>
                <w:sz w:val="18"/>
                <w:szCs w:val="18"/>
              </w:rPr>
            </w:pPr>
            <w:r>
              <w:rPr>
                <w:kern w:val="0"/>
                <w:sz w:val="18"/>
                <w:szCs w:val="18"/>
              </w:rPr>
              <w:t>补充流动资金</w:t>
            </w:r>
          </w:p>
        </w:tc>
        <w:tc>
          <w:tcPr>
            <w:tcW w:w="991" w:type="pct"/>
            <w:tcBorders>
              <w:top w:val="single" w:color="auto" w:sz="4" w:space="0"/>
              <w:left w:val="single" w:color="auto" w:sz="4" w:space="0"/>
              <w:bottom w:val="single" w:color="auto" w:sz="4" w:space="0"/>
              <w:right w:val="single" w:color="auto" w:sz="4" w:space="0"/>
            </w:tcBorders>
            <w:vAlign w:val="center"/>
          </w:tcPr>
          <w:p>
            <w:pPr>
              <w:ind w:left="-10" w:leftChars="-5" w:right="-10" w:rightChars="-5"/>
              <w:rPr>
                <w:kern w:val="0"/>
                <w:sz w:val="18"/>
                <w:szCs w:val="18"/>
              </w:rPr>
            </w:pPr>
            <w:r>
              <w:rPr>
                <w:kern w:val="0"/>
                <w:sz w:val="18"/>
                <w:szCs w:val="18"/>
              </w:rPr>
              <w:t>原承诺项目调减金额及募集资金前期现金管理收益</w:t>
            </w:r>
          </w:p>
        </w:tc>
        <w:tc>
          <w:tcPr>
            <w:tcW w:w="401" w:type="pct"/>
            <w:tcBorders>
              <w:top w:val="single" w:color="auto" w:sz="4" w:space="0"/>
              <w:left w:val="single" w:color="auto" w:sz="4" w:space="0"/>
              <w:bottom w:val="single" w:color="auto" w:sz="4" w:space="0"/>
              <w:right w:val="single" w:color="auto" w:sz="4" w:space="0"/>
            </w:tcBorders>
            <w:vAlign w:val="center"/>
          </w:tcPr>
          <w:p>
            <w:pPr>
              <w:jc w:val="right"/>
              <w:rPr>
                <w:color w:val="000000"/>
                <w:sz w:val="18"/>
                <w:szCs w:val="18"/>
              </w:rPr>
            </w:pPr>
            <w:r>
              <w:rPr>
                <w:color w:val="000000"/>
                <w:sz w:val="18"/>
                <w:szCs w:val="18"/>
              </w:rPr>
              <w:t>100,534.00</w:t>
            </w:r>
          </w:p>
        </w:tc>
        <w:tc>
          <w:tcPr>
            <w:tcW w:w="313"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p>
        </w:tc>
        <w:tc>
          <w:tcPr>
            <w:tcW w:w="452" w:type="pct"/>
            <w:tcBorders>
              <w:top w:val="single" w:color="auto" w:sz="4" w:space="0"/>
              <w:left w:val="single" w:color="auto" w:sz="4" w:space="0"/>
              <w:bottom w:val="single" w:color="auto" w:sz="4" w:space="0"/>
              <w:right w:val="single" w:color="auto" w:sz="4"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hint="eastAsia" w:ascii="Times New Roman" w:hAnsi="Times New Roman" w:cs="Times New Roman"/>
                <w:kern w:val="24"/>
                <w:sz w:val="18"/>
                <w:szCs w:val="18"/>
              </w:rPr>
              <w:t>100,534.00</w:t>
            </w:r>
          </w:p>
        </w:tc>
        <w:tc>
          <w:tcPr>
            <w:tcW w:w="452" w:type="pct"/>
            <w:tcBorders>
              <w:top w:val="single" w:color="auto" w:sz="4" w:space="0"/>
              <w:left w:val="single" w:color="auto" w:sz="4" w:space="0"/>
              <w:bottom w:val="single" w:color="auto" w:sz="4" w:space="0"/>
              <w:right w:val="single" w:color="auto" w:sz="4" w:space="0"/>
            </w:tcBorders>
            <w:vAlign w:val="center"/>
          </w:tcPr>
          <w:p>
            <w:pPr>
              <w:jc w:val="right"/>
              <w:rPr>
                <w:color w:val="000000"/>
                <w:sz w:val="18"/>
                <w:szCs w:val="18"/>
              </w:rPr>
            </w:pPr>
            <w:r>
              <w:rPr>
                <w:rFonts w:hint="eastAsia"/>
                <w:color w:val="000000"/>
                <w:sz w:val="18"/>
                <w:szCs w:val="18"/>
              </w:rPr>
              <w:t>100.00%</w:t>
            </w:r>
          </w:p>
        </w:tc>
        <w:tc>
          <w:tcPr>
            <w:tcW w:w="390" w:type="pct"/>
            <w:tcBorders>
              <w:top w:val="single" w:color="auto" w:sz="4" w:space="0"/>
              <w:left w:val="single" w:color="auto" w:sz="4" w:space="0"/>
              <w:bottom w:val="single" w:color="auto" w:sz="4" w:space="0"/>
              <w:right w:val="single" w:color="auto" w:sz="4" w:space="0"/>
            </w:tcBorders>
            <w:vAlign w:val="center"/>
          </w:tcPr>
          <w:p>
            <w:pPr>
              <w:jc w:val="left"/>
              <w:rPr>
                <w:color w:val="000000"/>
                <w:sz w:val="18"/>
                <w:szCs w:val="18"/>
              </w:rPr>
            </w:pPr>
            <w:r>
              <w:rPr>
                <w:rFonts w:hint="eastAsia"/>
                <w:color w:val="000000"/>
                <w:sz w:val="18"/>
                <w:szCs w:val="18"/>
              </w:rPr>
              <w:t>不适用</w:t>
            </w:r>
          </w:p>
        </w:tc>
        <w:tc>
          <w:tcPr>
            <w:tcW w:w="314" w:type="pct"/>
            <w:tcBorders>
              <w:top w:val="single" w:color="auto" w:sz="4" w:space="0"/>
              <w:left w:val="single" w:color="auto" w:sz="4" w:space="0"/>
              <w:bottom w:val="single" w:color="auto" w:sz="4" w:space="0"/>
              <w:right w:val="single" w:color="auto" w:sz="4" w:space="0"/>
            </w:tcBorders>
            <w:vAlign w:val="center"/>
          </w:tcPr>
          <w:p>
            <w:pPr>
              <w:jc w:val="right"/>
              <w:rPr>
                <w:color w:val="000000"/>
                <w:sz w:val="18"/>
                <w:szCs w:val="18"/>
                <w:highlight w:val="none"/>
              </w:rPr>
            </w:pPr>
            <w:r>
              <w:rPr>
                <w:rFonts w:hint="eastAsia"/>
                <w:color w:val="000000"/>
                <w:sz w:val="18"/>
                <w:szCs w:val="18"/>
                <w:highlight w:val="none"/>
              </w:rPr>
              <w:t>不适用</w:t>
            </w:r>
          </w:p>
        </w:tc>
        <w:tc>
          <w:tcPr>
            <w:tcW w:w="251" w:type="pct"/>
            <w:tcBorders>
              <w:top w:val="single" w:color="auto" w:sz="4" w:space="0"/>
              <w:left w:val="single" w:color="auto" w:sz="4" w:space="0"/>
              <w:bottom w:val="single" w:color="auto" w:sz="4" w:space="0"/>
              <w:right w:val="single" w:color="auto" w:sz="4" w:space="0"/>
            </w:tcBorders>
            <w:vAlign w:val="center"/>
          </w:tcPr>
          <w:p>
            <w:pPr>
              <w:jc w:val="left"/>
              <w:rPr>
                <w:color w:val="000000"/>
                <w:sz w:val="18"/>
                <w:szCs w:val="18"/>
                <w:highlight w:val="none"/>
              </w:rPr>
            </w:pPr>
            <w:r>
              <w:rPr>
                <w:rFonts w:hint="eastAsia"/>
                <w:color w:val="000000"/>
                <w:sz w:val="18"/>
                <w:szCs w:val="18"/>
                <w:highlight w:val="none"/>
              </w:rPr>
              <w:t>不适用</w:t>
            </w:r>
          </w:p>
        </w:tc>
        <w:tc>
          <w:tcPr>
            <w:tcW w:w="445" w:type="pct"/>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color w:val="000000"/>
                <w:sz w:val="18"/>
                <w:szCs w:val="18"/>
              </w:rPr>
              <w:t>否</w:t>
            </w:r>
          </w:p>
        </w:tc>
      </w:tr>
      <w:tr>
        <w:tblPrEx>
          <w:tblCellMar>
            <w:top w:w="0" w:type="dxa"/>
            <w:left w:w="28" w:type="dxa"/>
            <w:bottom w:w="0" w:type="dxa"/>
            <w:right w:w="28" w:type="dxa"/>
          </w:tblCellMar>
        </w:tblPrEx>
        <w:trPr>
          <w:trHeight w:val="90" w:hRule="atLeast"/>
        </w:trPr>
        <w:tc>
          <w:tcPr>
            <w:tcW w:w="991" w:type="pct"/>
            <w:tcBorders>
              <w:top w:val="single" w:color="auto" w:sz="4" w:space="0"/>
              <w:left w:val="single" w:color="auto" w:sz="4" w:space="0"/>
              <w:bottom w:val="single" w:color="auto" w:sz="4" w:space="0"/>
              <w:right w:val="single" w:color="auto" w:sz="4" w:space="0"/>
            </w:tcBorders>
            <w:shd w:val="clear" w:color="auto" w:fill="DCDCDC"/>
            <w:vAlign w:val="center"/>
          </w:tcPr>
          <w:p>
            <w:pPr>
              <w:jc w:val="center"/>
              <w:rPr>
                <w:color w:val="000000"/>
                <w:sz w:val="18"/>
                <w:szCs w:val="18"/>
              </w:rPr>
            </w:pPr>
            <w:r>
              <w:rPr>
                <w:color w:val="000000"/>
                <w:sz w:val="18"/>
                <w:szCs w:val="18"/>
              </w:rPr>
              <w:t>合计</w:t>
            </w:r>
          </w:p>
        </w:tc>
        <w:tc>
          <w:tcPr>
            <w:tcW w:w="991" w:type="pc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color w:val="000000"/>
                <w:sz w:val="18"/>
                <w:szCs w:val="18"/>
              </w:rPr>
              <w:t>-</w:t>
            </w:r>
          </w:p>
        </w:tc>
        <w:tc>
          <w:tcPr>
            <w:tcW w:w="401" w:type="pct"/>
            <w:tcBorders>
              <w:top w:val="single" w:color="auto" w:sz="4" w:space="0"/>
              <w:left w:val="single" w:color="auto" w:sz="4" w:space="0"/>
              <w:bottom w:val="single" w:color="auto" w:sz="4" w:space="0"/>
              <w:right w:val="single" w:color="auto" w:sz="4" w:space="0"/>
            </w:tcBorders>
            <w:vAlign w:val="center"/>
          </w:tcPr>
          <w:p>
            <w:pPr>
              <w:widowControl/>
              <w:jc w:val="right"/>
              <w:rPr>
                <w:rFonts w:eastAsia="等线"/>
                <w:color w:val="000000"/>
                <w:kern w:val="0"/>
                <w:sz w:val="18"/>
                <w:szCs w:val="18"/>
              </w:rPr>
            </w:pPr>
            <w:r>
              <w:rPr>
                <w:rFonts w:eastAsia="等线"/>
                <w:color w:val="000000"/>
                <w:sz w:val="18"/>
                <w:szCs w:val="18"/>
              </w:rPr>
              <w:t>252,438.14</w:t>
            </w:r>
          </w:p>
        </w:tc>
        <w:tc>
          <w:tcPr>
            <w:tcW w:w="313" w:type="pct"/>
            <w:tcBorders>
              <w:top w:val="nil"/>
              <w:left w:val="nil"/>
              <w:bottom w:val="single" w:color="auto" w:sz="8" w:space="0"/>
              <w:right w:val="single" w:color="auto" w:sz="8"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4,246.74</w:t>
            </w:r>
          </w:p>
        </w:tc>
        <w:tc>
          <w:tcPr>
            <w:tcW w:w="452" w:type="pct"/>
            <w:tcBorders>
              <w:top w:val="nil"/>
              <w:left w:val="nil"/>
              <w:bottom w:val="single" w:color="auto" w:sz="8" w:space="0"/>
              <w:right w:val="single" w:color="auto" w:sz="8" w:space="0"/>
            </w:tcBorders>
            <w:vAlign w:val="center"/>
          </w:tcPr>
          <w:p>
            <w:pPr>
              <w:pStyle w:val="7"/>
              <w:snapToGrid w:val="0"/>
              <w:spacing w:before="0" w:beforeAutospacing="0" w:after="0" w:afterAutospacing="0" w:line="200" w:lineRule="atLeast"/>
              <w:jc w:val="right"/>
              <w:textAlignment w:val="center"/>
              <w:rPr>
                <w:rFonts w:ascii="Times New Roman" w:hAnsi="Times New Roman" w:cs="Times New Roman"/>
                <w:kern w:val="24"/>
                <w:sz w:val="18"/>
                <w:szCs w:val="18"/>
              </w:rPr>
            </w:pPr>
            <w:r>
              <w:rPr>
                <w:rFonts w:ascii="Times New Roman" w:hAnsi="Times New Roman" w:cs="Times New Roman"/>
                <w:kern w:val="24"/>
                <w:sz w:val="18"/>
                <w:szCs w:val="18"/>
              </w:rPr>
              <w:t>208</w:t>
            </w:r>
            <w:r>
              <w:rPr>
                <w:rFonts w:hint="eastAsia" w:ascii="Times New Roman" w:hAnsi="Times New Roman" w:cs="Times New Roman"/>
                <w:kern w:val="24"/>
                <w:sz w:val="18"/>
                <w:szCs w:val="18"/>
              </w:rPr>
              <w:t>,</w:t>
            </w:r>
            <w:r>
              <w:rPr>
                <w:rFonts w:ascii="Times New Roman" w:hAnsi="Times New Roman" w:cs="Times New Roman"/>
                <w:kern w:val="24"/>
                <w:sz w:val="18"/>
                <w:szCs w:val="18"/>
              </w:rPr>
              <w:t>142</w:t>
            </w:r>
            <w:r>
              <w:rPr>
                <w:rFonts w:hint="eastAsia" w:ascii="Times New Roman" w:hAnsi="Times New Roman" w:cs="Times New Roman"/>
                <w:kern w:val="24"/>
                <w:sz w:val="18"/>
                <w:szCs w:val="18"/>
              </w:rPr>
              <w:t>.</w:t>
            </w:r>
            <w:r>
              <w:rPr>
                <w:rFonts w:ascii="Times New Roman" w:hAnsi="Times New Roman" w:cs="Times New Roman"/>
                <w:kern w:val="24"/>
                <w:sz w:val="18"/>
                <w:szCs w:val="18"/>
              </w:rPr>
              <w:t>62</w:t>
            </w:r>
          </w:p>
        </w:tc>
        <w:tc>
          <w:tcPr>
            <w:tcW w:w="452" w:type="pct"/>
            <w:tcBorders>
              <w:top w:val="single" w:color="auto" w:sz="4" w:space="0"/>
              <w:left w:val="single" w:color="auto" w:sz="4" w:space="0"/>
              <w:bottom w:val="single" w:color="auto" w:sz="4" w:space="0"/>
              <w:right w:val="single" w:color="auto" w:sz="4" w:space="0"/>
            </w:tcBorders>
            <w:vAlign w:val="center"/>
          </w:tcPr>
          <w:p>
            <w:pPr>
              <w:jc w:val="right"/>
              <w:rPr>
                <w:color w:val="000000"/>
                <w:sz w:val="18"/>
                <w:szCs w:val="18"/>
              </w:rPr>
            </w:pPr>
            <w:r>
              <w:rPr>
                <w:rFonts w:hint="eastAsia"/>
                <w:color w:val="000000"/>
                <w:sz w:val="18"/>
                <w:szCs w:val="18"/>
              </w:rPr>
              <w:t>—</w:t>
            </w:r>
          </w:p>
        </w:tc>
        <w:tc>
          <w:tcPr>
            <w:tcW w:w="390" w:type="pc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w:t>
            </w:r>
          </w:p>
        </w:tc>
        <w:tc>
          <w:tcPr>
            <w:tcW w:w="314" w:type="pct"/>
            <w:tcBorders>
              <w:top w:val="single" w:color="auto" w:sz="4" w:space="0"/>
              <w:left w:val="single" w:color="auto" w:sz="4" w:space="0"/>
              <w:bottom w:val="single" w:color="auto" w:sz="4" w:space="0"/>
              <w:right w:val="single" w:color="auto" w:sz="4" w:space="0"/>
            </w:tcBorders>
            <w:vAlign w:val="center"/>
          </w:tcPr>
          <w:p>
            <w:pPr>
              <w:jc w:val="right"/>
              <w:rPr>
                <w:color w:val="000000"/>
                <w:sz w:val="18"/>
                <w:szCs w:val="18"/>
                <w:highlight w:val="none"/>
              </w:rPr>
            </w:pPr>
            <w:r>
              <w:rPr>
                <w:rFonts w:hint="eastAsia"/>
                <w:color w:val="000000"/>
                <w:sz w:val="18"/>
                <w:szCs w:val="18"/>
                <w:highlight w:val="none"/>
              </w:rPr>
              <w:t xml:space="preserve">1,961.66 </w:t>
            </w:r>
          </w:p>
        </w:tc>
        <w:tc>
          <w:tcPr>
            <w:tcW w:w="251" w:type="pc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highlight w:val="none"/>
              </w:rPr>
            </w:pPr>
            <w:r>
              <w:rPr>
                <w:rFonts w:hint="eastAsia"/>
                <w:color w:val="000000"/>
                <w:sz w:val="18"/>
                <w:szCs w:val="18"/>
                <w:highlight w:val="none"/>
              </w:rPr>
              <w:t>—</w:t>
            </w:r>
          </w:p>
        </w:tc>
        <w:tc>
          <w:tcPr>
            <w:tcW w:w="445" w:type="pct"/>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highlight w:val="none"/>
              </w:rPr>
            </w:pPr>
            <w:r>
              <w:rPr>
                <w:rFonts w:hint="eastAsia"/>
                <w:color w:val="000000"/>
                <w:sz w:val="18"/>
                <w:szCs w:val="18"/>
                <w:highlight w:val="none"/>
              </w:rPr>
              <w:t>—</w:t>
            </w:r>
          </w:p>
        </w:tc>
      </w:tr>
      <w:tr>
        <w:tblPrEx>
          <w:tblCellMar>
            <w:top w:w="0" w:type="dxa"/>
            <w:left w:w="28" w:type="dxa"/>
            <w:bottom w:w="0" w:type="dxa"/>
            <w:right w:w="28" w:type="dxa"/>
          </w:tblCellMar>
        </w:tblPrEx>
        <w:trPr>
          <w:trHeight w:val="397" w:hRule="atLeast"/>
        </w:trPr>
        <w:tc>
          <w:tcPr>
            <w:tcW w:w="3148" w:type="pct"/>
            <w:gridSpan w:val="5"/>
            <w:tcBorders>
              <w:top w:val="single" w:color="auto" w:sz="4" w:space="0"/>
              <w:left w:val="single" w:color="auto" w:sz="4" w:space="0"/>
              <w:bottom w:val="single" w:color="auto" w:sz="4" w:space="0"/>
              <w:right w:val="single" w:color="auto" w:sz="4" w:space="0"/>
            </w:tcBorders>
            <w:shd w:val="clear" w:color="auto" w:fill="DCDCDC"/>
            <w:vAlign w:val="center"/>
          </w:tcPr>
          <w:p>
            <w:pPr>
              <w:rPr>
                <w:color w:val="000000"/>
                <w:sz w:val="18"/>
                <w:szCs w:val="18"/>
              </w:rPr>
            </w:pPr>
            <w:r>
              <w:rPr>
                <w:color w:val="000000"/>
                <w:sz w:val="18"/>
                <w:szCs w:val="18"/>
              </w:rPr>
              <w:t>变更原因、决策程序及信息披露情况说明（分具体项目）</w:t>
            </w:r>
          </w:p>
        </w:tc>
        <w:tc>
          <w:tcPr>
            <w:tcW w:w="1852" w:type="pct"/>
            <w:gridSpan w:val="5"/>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ascii="宋体" w:hAnsi="宋体" w:cs="宋体"/>
                <w:color w:val="000000"/>
                <w:sz w:val="18"/>
                <w:szCs w:val="18"/>
              </w:rPr>
              <w:t>详见本报告“四、变更募集资金的实际使用情况”之“（二）调整募集资金投资项目实施方案”</w:t>
            </w:r>
          </w:p>
        </w:tc>
      </w:tr>
      <w:tr>
        <w:tblPrEx>
          <w:tblCellMar>
            <w:top w:w="0" w:type="dxa"/>
            <w:left w:w="28" w:type="dxa"/>
            <w:bottom w:w="0" w:type="dxa"/>
            <w:right w:w="28" w:type="dxa"/>
          </w:tblCellMar>
        </w:tblPrEx>
        <w:trPr>
          <w:trHeight w:val="397" w:hRule="atLeast"/>
        </w:trPr>
        <w:tc>
          <w:tcPr>
            <w:tcW w:w="3148" w:type="pct"/>
            <w:gridSpan w:val="5"/>
            <w:tcBorders>
              <w:top w:val="single" w:color="auto" w:sz="4" w:space="0"/>
              <w:left w:val="single" w:color="auto" w:sz="4" w:space="0"/>
              <w:bottom w:val="single" w:color="auto" w:sz="4" w:space="0"/>
              <w:right w:val="single" w:color="auto" w:sz="4" w:space="0"/>
            </w:tcBorders>
            <w:shd w:val="clear" w:color="auto" w:fill="DCDCDC"/>
            <w:vAlign w:val="center"/>
          </w:tcPr>
          <w:p>
            <w:pPr>
              <w:rPr>
                <w:color w:val="000000"/>
                <w:sz w:val="18"/>
                <w:szCs w:val="18"/>
              </w:rPr>
            </w:pPr>
            <w:r>
              <w:rPr>
                <w:color w:val="000000"/>
                <w:sz w:val="18"/>
                <w:szCs w:val="18"/>
              </w:rPr>
              <w:t>未达到计划进度或预计收益的情况和原因（分具体项目）</w:t>
            </w:r>
          </w:p>
        </w:tc>
        <w:tc>
          <w:tcPr>
            <w:tcW w:w="1852" w:type="pct"/>
            <w:gridSpan w:val="5"/>
            <w:tcBorders>
              <w:top w:val="single" w:color="auto" w:sz="4" w:space="0"/>
              <w:left w:val="single" w:color="auto" w:sz="4" w:space="0"/>
              <w:bottom w:val="single" w:color="auto" w:sz="4" w:space="0"/>
              <w:right w:val="single" w:color="auto" w:sz="4" w:space="0"/>
            </w:tcBorders>
            <w:vAlign w:val="center"/>
          </w:tcPr>
          <w:p>
            <w:pPr>
              <w:snapToGrid w:val="0"/>
              <w:spacing w:line="220" w:lineRule="atLeast"/>
              <w:ind w:right="-10" w:rightChars="-5"/>
              <w:jc w:val="left"/>
              <w:rPr>
                <w:sz w:val="18"/>
                <w:szCs w:val="18"/>
                <w:highlight w:val="yellow"/>
              </w:rPr>
            </w:pPr>
            <w:r>
              <w:rPr>
                <w:rFonts w:hint="eastAsia"/>
                <w:sz w:val="18"/>
                <w:szCs w:val="18"/>
              </w:rPr>
              <w:t>不适用</w:t>
            </w:r>
          </w:p>
        </w:tc>
      </w:tr>
      <w:tr>
        <w:tblPrEx>
          <w:tblCellMar>
            <w:top w:w="0" w:type="dxa"/>
            <w:left w:w="28" w:type="dxa"/>
            <w:bottom w:w="0" w:type="dxa"/>
            <w:right w:w="28" w:type="dxa"/>
          </w:tblCellMar>
        </w:tblPrEx>
        <w:trPr>
          <w:trHeight w:val="397" w:hRule="atLeast"/>
        </w:trPr>
        <w:tc>
          <w:tcPr>
            <w:tcW w:w="3148" w:type="pct"/>
            <w:gridSpan w:val="5"/>
            <w:tcBorders>
              <w:top w:val="single" w:color="auto" w:sz="4" w:space="0"/>
              <w:left w:val="single" w:color="auto" w:sz="4" w:space="0"/>
              <w:bottom w:val="single" w:color="auto" w:sz="4" w:space="0"/>
              <w:right w:val="single" w:color="auto" w:sz="4" w:space="0"/>
            </w:tcBorders>
            <w:shd w:val="clear" w:color="auto" w:fill="DCDCDC"/>
            <w:vAlign w:val="center"/>
          </w:tcPr>
          <w:p>
            <w:pPr>
              <w:rPr>
                <w:color w:val="000000"/>
                <w:sz w:val="18"/>
                <w:szCs w:val="18"/>
              </w:rPr>
            </w:pPr>
            <w:r>
              <w:rPr>
                <w:color w:val="000000"/>
                <w:sz w:val="18"/>
                <w:szCs w:val="18"/>
              </w:rPr>
              <w:t>变更后的项目可行性发生重大变化的情况说明</w:t>
            </w:r>
          </w:p>
        </w:tc>
        <w:tc>
          <w:tcPr>
            <w:tcW w:w="1852" w:type="pct"/>
            <w:gridSpan w:val="5"/>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color w:val="000000"/>
                <w:sz w:val="18"/>
                <w:szCs w:val="18"/>
              </w:rPr>
              <w:t>不适用</w:t>
            </w:r>
          </w:p>
        </w:tc>
      </w:tr>
    </w:tbl>
    <w:p/>
    <w:p/>
    <w:sectPr>
      <w:headerReference r:id="rId8" w:type="first"/>
      <w:headerReference r:id="rId6" w:type="default"/>
      <w:footerReference r:id="rId9" w:type="default"/>
      <w:headerReference r:id="rId7" w:type="even"/>
      <w:pgSz w:w="16838" w:h="11906" w:orient="landscape"/>
      <w:pgMar w:top="720" w:right="720" w:bottom="720" w:left="720" w:header="850"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00685" cy="147955"/>
              <wp:effectExtent l="0" t="0" r="0" b="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00685" cy="147955"/>
                      </a:xfrm>
                      <a:prstGeom prst="rect">
                        <a:avLst/>
                      </a:prstGeom>
                      <a:noFill/>
                      <a:ln>
                        <a:noFill/>
                      </a:ln>
                    </wps:spPr>
                    <wps:txbx>
                      <w:txbxContent>
                        <w:p>
                          <w:pPr>
                            <w:pStyle w:val="5"/>
                            <w:jc w:val="center"/>
                          </w:pPr>
                          <w:r>
                            <w:rPr>
                              <w:rFonts w:hint="eastAsia"/>
                            </w:rPr>
                            <w:t xml:space="preserve"> 第</w:t>
                          </w:r>
                          <w:r>
                            <w:rPr>
                              <w:rStyle w:val="11"/>
                            </w:rPr>
                            <w:fldChar w:fldCharType="begin"/>
                          </w:r>
                          <w:r>
                            <w:rPr>
                              <w:rStyle w:val="11"/>
                            </w:rPr>
                            <w:instrText xml:space="preserve"> PAGE </w:instrText>
                          </w:r>
                          <w:r>
                            <w:rPr>
                              <w:rStyle w:val="11"/>
                            </w:rPr>
                            <w:fldChar w:fldCharType="separate"/>
                          </w:r>
                          <w:r>
                            <w:rPr>
                              <w:rStyle w:val="11"/>
                            </w:rPr>
                            <w:t>8</w:t>
                          </w:r>
                          <w:r>
                            <w:rPr>
                              <w:rStyle w:val="11"/>
                            </w:rPr>
                            <w:fldChar w:fldCharType="end"/>
                          </w:r>
                          <w:r>
                            <w:rPr>
                              <w:rFonts w:hint="eastAsia"/>
                            </w:rPr>
                            <w:t>页</w:t>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1.65pt;width:31.55pt;mso-position-horizontal:center;mso-position-horizontal-relative:margin;mso-wrap-style:none;z-index:251659264;mso-width-relative:page;mso-height-relative:page;" filled="f" stroked="f" coordsize="21600,21600" o:gfxdata="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lDqPLRAAAAAwEAAA8AAAAAAAAAAQAgAAAAIgAAAGRycy9k&#10;b3ducmV2LnhtbFBLAQIUABQAAAAIAIdO4kCS39eDCQIAAAIEAAAOAAAAAAAAAAEAIAAAACABAABk&#10;cnMvZTJvRG9jLnhtbFBLBQYAAAAABgAGAFkBAACbBQAAAAA=&#10;">
              <v:fill on="f" focussize="0,0"/>
              <v:stroke on="f"/>
              <v:imagedata o:title=""/>
              <o:lock v:ext="edit" aspectratio="f"/>
              <v:textbox inset="0mm,0mm,0mm,0mm" style="mso-fit-shape-to-text:t;">
                <w:txbxContent>
                  <w:p>
                    <w:pPr>
                      <w:pStyle w:val="5"/>
                      <w:jc w:val="center"/>
                    </w:pPr>
                    <w:r>
                      <w:rPr>
                        <w:rFonts w:hint="eastAsia"/>
                      </w:rPr>
                      <w:t xml:space="preserve"> 第</w:t>
                    </w:r>
                    <w:r>
                      <w:rPr>
                        <w:rStyle w:val="11"/>
                      </w:rPr>
                      <w:fldChar w:fldCharType="begin"/>
                    </w:r>
                    <w:r>
                      <w:rPr>
                        <w:rStyle w:val="11"/>
                      </w:rPr>
                      <w:instrText xml:space="preserve"> PAGE </w:instrText>
                    </w:r>
                    <w:r>
                      <w:rPr>
                        <w:rStyle w:val="11"/>
                      </w:rPr>
                      <w:fldChar w:fldCharType="separate"/>
                    </w:r>
                    <w:r>
                      <w:rPr>
                        <w:rStyle w:val="11"/>
                      </w:rPr>
                      <w:t>8</w:t>
                    </w:r>
                    <w:r>
                      <w:rPr>
                        <w:rStyle w:val="11"/>
                      </w:rPr>
                      <w:fldChar w:fldCharType="end"/>
                    </w:r>
                    <w:r>
                      <w:rPr>
                        <w:rFonts w:hint="eastAsia"/>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t>专项报告</w:t>
    </w:r>
    <w:r>
      <w:rPr>
        <w:rFonts w:hint="eastAsia"/>
      </w:rPr>
      <w:t xml:space="preserve"> 第</w:t>
    </w:r>
    <w:r>
      <w:fldChar w:fldCharType="begin"/>
    </w:r>
    <w:r>
      <w:instrText xml:space="preserve">PAGE   \* MERGEFORMAT</w:instrText>
    </w:r>
    <w:r>
      <w:fldChar w:fldCharType="separate"/>
    </w:r>
    <w:r>
      <w:rPr>
        <w:lang w:val="zh-CN"/>
      </w:rPr>
      <w:t>1</w:t>
    </w:r>
    <w:r>
      <w:fldChar w:fldCharType="end"/>
    </w:r>
    <w:r>
      <w:t>页</w:t>
    </w:r>
  </w:p>
  <w:p>
    <w:pPr>
      <w:pStyle w:val="5"/>
      <w:spacing w:before="120" w:after="12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t>附表</w:t>
    </w:r>
    <w:r>
      <w:rPr>
        <w:rFonts w:hint="eastAsia"/>
      </w:rPr>
      <w:t xml:space="preserve"> 第</w:t>
    </w:r>
    <w:r>
      <w:fldChar w:fldCharType="begin"/>
    </w:r>
    <w:r>
      <w:instrText xml:space="preserve">PAGE   \* MERGEFORMAT</w:instrText>
    </w:r>
    <w:r>
      <w:fldChar w:fldCharType="separate"/>
    </w:r>
    <w:r>
      <w:rPr>
        <w:lang w:val="zh-CN"/>
      </w:rPr>
      <w:t>1</w:t>
    </w:r>
    <w:r>
      <w:fldChar w:fldCharType="end"/>
    </w:r>
    <w:r>
      <w:t>页</w:t>
    </w:r>
  </w:p>
  <w:p>
    <w:pPr>
      <w:pStyle w:val="5"/>
      <w:wordWrap w:val="0"/>
      <w:jc w:val="right"/>
      <w:rPr>
        <w:rFonts w:ascii="宋体" w:hAnsi="宋体"/>
        <w:sz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pPr>
    <w:r>
      <w:rPr>
        <w:rFonts w:hint="eastAsia"/>
        <w:sz w:val="20"/>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2576D9"/>
    <w:multiLevelType w:val="multilevel"/>
    <w:tmpl w:val="652576D9"/>
    <w:lvl w:ilvl="0" w:tentative="0">
      <w:start w:val="1"/>
      <w:numFmt w:val="chineseCountingThousand"/>
      <w:suff w:val="space"/>
      <w:lvlText w:val="%1、"/>
      <w:lvlJc w:val="left"/>
      <w:pPr>
        <w:ind w:left="0" w:firstLine="0"/>
      </w:pPr>
      <w:rPr>
        <w:rFonts w:hint="eastAsia"/>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附注二级" w:val="附注二级"/>
    <w:docVar w:name="附注三级" w:val="附注三级"/>
    <w:docVar w:name="附注一级" w:val="附注一级"/>
  </w:docVars>
  <w:rsids>
    <w:rsidRoot w:val="00D07C1C"/>
    <w:rsid w:val="00014A1E"/>
    <w:rsid w:val="00020FFD"/>
    <w:rsid w:val="00027FC1"/>
    <w:rsid w:val="00034734"/>
    <w:rsid w:val="00040AE9"/>
    <w:rsid w:val="0004272A"/>
    <w:rsid w:val="00055CB3"/>
    <w:rsid w:val="00067034"/>
    <w:rsid w:val="000672CE"/>
    <w:rsid w:val="000753F8"/>
    <w:rsid w:val="00082B3C"/>
    <w:rsid w:val="000864F3"/>
    <w:rsid w:val="000A6E5E"/>
    <w:rsid w:val="000B280C"/>
    <w:rsid w:val="000C3D70"/>
    <w:rsid w:val="000F2AE7"/>
    <w:rsid w:val="00131332"/>
    <w:rsid w:val="00132AC5"/>
    <w:rsid w:val="0016627B"/>
    <w:rsid w:val="00172AA5"/>
    <w:rsid w:val="001757BC"/>
    <w:rsid w:val="0017723D"/>
    <w:rsid w:val="00180228"/>
    <w:rsid w:val="001822C3"/>
    <w:rsid w:val="00191255"/>
    <w:rsid w:val="001A3689"/>
    <w:rsid w:val="001A654B"/>
    <w:rsid w:val="001B0EA0"/>
    <w:rsid w:val="001B261F"/>
    <w:rsid w:val="001B41F8"/>
    <w:rsid w:val="001B4D8D"/>
    <w:rsid w:val="001C110C"/>
    <w:rsid w:val="001C22B7"/>
    <w:rsid w:val="001C74D0"/>
    <w:rsid w:val="001D1C2F"/>
    <w:rsid w:val="001E1A41"/>
    <w:rsid w:val="001E2C2F"/>
    <w:rsid w:val="001E3FB0"/>
    <w:rsid w:val="001F5712"/>
    <w:rsid w:val="001F652D"/>
    <w:rsid w:val="001F6E92"/>
    <w:rsid w:val="00203063"/>
    <w:rsid w:val="00205178"/>
    <w:rsid w:val="00205F63"/>
    <w:rsid w:val="00215181"/>
    <w:rsid w:val="002504FB"/>
    <w:rsid w:val="00252690"/>
    <w:rsid w:val="00262DB4"/>
    <w:rsid w:val="00273BB2"/>
    <w:rsid w:val="00295CB4"/>
    <w:rsid w:val="002A1658"/>
    <w:rsid w:val="002A3533"/>
    <w:rsid w:val="002A38BD"/>
    <w:rsid w:val="002B510D"/>
    <w:rsid w:val="002B7BEB"/>
    <w:rsid w:val="002E0773"/>
    <w:rsid w:val="002E0A7F"/>
    <w:rsid w:val="002E2980"/>
    <w:rsid w:val="002E6119"/>
    <w:rsid w:val="0030062C"/>
    <w:rsid w:val="003073EE"/>
    <w:rsid w:val="00330B88"/>
    <w:rsid w:val="00334227"/>
    <w:rsid w:val="00355FEA"/>
    <w:rsid w:val="00366158"/>
    <w:rsid w:val="00375372"/>
    <w:rsid w:val="0038223D"/>
    <w:rsid w:val="003A5A7C"/>
    <w:rsid w:val="003C1212"/>
    <w:rsid w:val="003C327A"/>
    <w:rsid w:val="003D38DA"/>
    <w:rsid w:val="003D544A"/>
    <w:rsid w:val="003E2751"/>
    <w:rsid w:val="003F2F38"/>
    <w:rsid w:val="003F49AB"/>
    <w:rsid w:val="0040285A"/>
    <w:rsid w:val="00404D55"/>
    <w:rsid w:val="004100B2"/>
    <w:rsid w:val="00410E4D"/>
    <w:rsid w:val="004313D2"/>
    <w:rsid w:val="00433987"/>
    <w:rsid w:val="00455624"/>
    <w:rsid w:val="004672AB"/>
    <w:rsid w:val="00485732"/>
    <w:rsid w:val="004A0E83"/>
    <w:rsid w:val="004B1066"/>
    <w:rsid w:val="004B5AA5"/>
    <w:rsid w:val="004B733D"/>
    <w:rsid w:val="004E1799"/>
    <w:rsid w:val="004E18B4"/>
    <w:rsid w:val="004E2800"/>
    <w:rsid w:val="004E32FB"/>
    <w:rsid w:val="00514188"/>
    <w:rsid w:val="00523D1F"/>
    <w:rsid w:val="00535B82"/>
    <w:rsid w:val="005538A0"/>
    <w:rsid w:val="0055390E"/>
    <w:rsid w:val="0056415F"/>
    <w:rsid w:val="0056651B"/>
    <w:rsid w:val="00570E4E"/>
    <w:rsid w:val="005727F9"/>
    <w:rsid w:val="005744A5"/>
    <w:rsid w:val="0057535D"/>
    <w:rsid w:val="00576BAA"/>
    <w:rsid w:val="005B5453"/>
    <w:rsid w:val="005B6E6D"/>
    <w:rsid w:val="005C3359"/>
    <w:rsid w:val="005C73B1"/>
    <w:rsid w:val="005D0C2C"/>
    <w:rsid w:val="005E3F9A"/>
    <w:rsid w:val="0060563D"/>
    <w:rsid w:val="006225A9"/>
    <w:rsid w:val="00623E9B"/>
    <w:rsid w:val="006300A2"/>
    <w:rsid w:val="006311F4"/>
    <w:rsid w:val="006358BE"/>
    <w:rsid w:val="00636D7F"/>
    <w:rsid w:val="00637B78"/>
    <w:rsid w:val="006623B6"/>
    <w:rsid w:val="0066422A"/>
    <w:rsid w:val="00673017"/>
    <w:rsid w:val="006844DA"/>
    <w:rsid w:val="00690535"/>
    <w:rsid w:val="00696712"/>
    <w:rsid w:val="006A5064"/>
    <w:rsid w:val="006A61F4"/>
    <w:rsid w:val="006C0221"/>
    <w:rsid w:val="006C0C71"/>
    <w:rsid w:val="006C3CF0"/>
    <w:rsid w:val="006D34F1"/>
    <w:rsid w:val="006D3C13"/>
    <w:rsid w:val="006E237E"/>
    <w:rsid w:val="006E57FD"/>
    <w:rsid w:val="006E73DB"/>
    <w:rsid w:val="006F2060"/>
    <w:rsid w:val="006F28BC"/>
    <w:rsid w:val="0070273B"/>
    <w:rsid w:val="00711519"/>
    <w:rsid w:val="007170E3"/>
    <w:rsid w:val="00724FF9"/>
    <w:rsid w:val="007263FB"/>
    <w:rsid w:val="00727278"/>
    <w:rsid w:val="00771973"/>
    <w:rsid w:val="00780553"/>
    <w:rsid w:val="007848A1"/>
    <w:rsid w:val="007A4892"/>
    <w:rsid w:val="007A6E43"/>
    <w:rsid w:val="007B2707"/>
    <w:rsid w:val="007B409B"/>
    <w:rsid w:val="007C1D6A"/>
    <w:rsid w:val="007C7455"/>
    <w:rsid w:val="007F38E1"/>
    <w:rsid w:val="007F4AC0"/>
    <w:rsid w:val="007F559A"/>
    <w:rsid w:val="008208B6"/>
    <w:rsid w:val="00826BAE"/>
    <w:rsid w:val="0086104B"/>
    <w:rsid w:val="0086433C"/>
    <w:rsid w:val="00870647"/>
    <w:rsid w:val="00871DE1"/>
    <w:rsid w:val="008729BB"/>
    <w:rsid w:val="008809CC"/>
    <w:rsid w:val="00885876"/>
    <w:rsid w:val="00893439"/>
    <w:rsid w:val="008A0243"/>
    <w:rsid w:val="008A1612"/>
    <w:rsid w:val="008A373E"/>
    <w:rsid w:val="008B0313"/>
    <w:rsid w:val="008B2AE0"/>
    <w:rsid w:val="008B4DA4"/>
    <w:rsid w:val="008F66B5"/>
    <w:rsid w:val="00902C99"/>
    <w:rsid w:val="00903E27"/>
    <w:rsid w:val="00904285"/>
    <w:rsid w:val="00905431"/>
    <w:rsid w:val="00906705"/>
    <w:rsid w:val="009116C5"/>
    <w:rsid w:val="00913E4B"/>
    <w:rsid w:val="0092086F"/>
    <w:rsid w:val="00921A51"/>
    <w:rsid w:val="009271E2"/>
    <w:rsid w:val="00937F28"/>
    <w:rsid w:val="00944665"/>
    <w:rsid w:val="00945703"/>
    <w:rsid w:val="009635A3"/>
    <w:rsid w:val="0097362B"/>
    <w:rsid w:val="00995103"/>
    <w:rsid w:val="009B1BEB"/>
    <w:rsid w:val="009B683D"/>
    <w:rsid w:val="009C2AF6"/>
    <w:rsid w:val="009C458E"/>
    <w:rsid w:val="009E03EE"/>
    <w:rsid w:val="009E0F13"/>
    <w:rsid w:val="009E1845"/>
    <w:rsid w:val="009F26C8"/>
    <w:rsid w:val="009F6FDC"/>
    <w:rsid w:val="00A00FB5"/>
    <w:rsid w:val="00A01561"/>
    <w:rsid w:val="00A14D31"/>
    <w:rsid w:val="00A23708"/>
    <w:rsid w:val="00A26DD1"/>
    <w:rsid w:val="00A3781C"/>
    <w:rsid w:val="00A44A98"/>
    <w:rsid w:val="00A44B1A"/>
    <w:rsid w:val="00A47E3E"/>
    <w:rsid w:val="00A51653"/>
    <w:rsid w:val="00A54DBE"/>
    <w:rsid w:val="00A714B8"/>
    <w:rsid w:val="00A8339A"/>
    <w:rsid w:val="00A83F15"/>
    <w:rsid w:val="00AA6ED7"/>
    <w:rsid w:val="00AA7BF4"/>
    <w:rsid w:val="00AB65E3"/>
    <w:rsid w:val="00AE2B03"/>
    <w:rsid w:val="00AF7F8F"/>
    <w:rsid w:val="00B01D8F"/>
    <w:rsid w:val="00B10CC8"/>
    <w:rsid w:val="00B11962"/>
    <w:rsid w:val="00B11C00"/>
    <w:rsid w:val="00B17B49"/>
    <w:rsid w:val="00B34081"/>
    <w:rsid w:val="00B34A91"/>
    <w:rsid w:val="00B41164"/>
    <w:rsid w:val="00B431FC"/>
    <w:rsid w:val="00B43D7E"/>
    <w:rsid w:val="00B47962"/>
    <w:rsid w:val="00B52256"/>
    <w:rsid w:val="00B76ACF"/>
    <w:rsid w:val="00B809F5"/>
    <w:rsid w:val="00B83EC8"/>
    <w:rsid w:val="00B8682B"/>
    <w:rsid w:val="00B86987"/>
    <w:rsid w:val="00B9168E"/>
    <w:rsid w:val="00B956D5"/>
    <w:rsid w:val="00BA1BAA"/>
    <w:rsid w:val="00BA2CF1"/>
    <w:rsid w:val="00BC564F"/>
    <w:rsid w:val="00BD65BB"/>
    <w:rsid w:val="00BE2794"/>
    <w:rsid w:val="00BE7CC2"/>
    <w:rsid w:val="00BF0CC7"/>
    <w:rsid w:val="00BF2FBE"/>
    <w:rsid w:val="00BF4BC2"/>
    <w:rsid w:val="00C037FC"/>
    <w:rsid w:val="00C05929"/>
    <w:rsid w:val="00C05DF0"/>
    <w:rsid w:val="00C06B4E"/>
    <w:rsid w:val="00C07722"/>
    <w:rsid w:val="00C72F5A"/>
    <w:rsid w:val="00C7330C"/>
    <w:rsid w:val="00C75397"/>
    <w:rsid w:val="00C779B1"/>
    <w:rsid w:val="00CA58BF"/>
    <w:rsid w:val="00CA6E59"/>
    <w:rsid w:val="00CA7DE9"/>
    <w:rsid w:val="00CB4A99"/>
    <w:rsid w:val="00CB73F4"/>
    <w:rsid w:val="00CC6A34"/>
    <w:rsid w:val="00CC745E"/>
    <w:rsid w:val="00CE03FF"/>
    <w:rsid w:val="00D07C1C"/>
    <w:rsid w:val="00D259FE"/>
    <w:rsid w:val="00D32293"/>
    <w:rsid w:val="00D35709"/>
    <w:rsid w:val="00D3677E"/>
    <w:rsid w:val="00D3761D"/>
    <w:rsid w:val="00D37646"/>
    <w:rsid w:val="00D555FF"/>
    <w:rsid w:val="00D67EF8"/>
    <w:rsid w:val="00D72301"/>
    <w:rsid w:val="00D73A7C"/>
    <w:rsid w:val="00D74B59"/>
    <w:rsid w:val="00D75A57"/>
    <w:rsid w:val="00D82359"/>
    <w:rsid w:val="00D8726E"/>
    <w:rsid w:val="00D96432"/>
    <w:rsid w:val="00D97DF9"/>
    <w:rsid w:val="00DA3CAF"/>
    <w:rsid w:val="00DB3925"/>
    <w:rsid w:val="00DB756B"/>
    <w:rsid w:val="00DC42B1"/>
    <w:rsid w:val="00DC5FC9"/>
    <w:rsid w:val="00DE4D55"/>
    <w:rsid w:val="00DE5105"/>
    <w:rsid w:val="00DF300F"/>
    <w:rsid w:val="00E2340A"/>
    <w:rsid w:val="00E323FA"/>
    <w:rsid w:val="00E41BF1"/>
    <w:rsid w:val="00E428A2"/>
    <w:rsid w:val="00E52B94"/>
    <w:rsid w:val="00E53BD0"/>
    <w:rsid w:val="00E573FE"/>
    <w:rsid w:val="00E57EF0"/>
    <w:rsid w:val="00E94C7D"/>
    <w:rsid w:val="00EB7CE5"/>
    <w:rsid w:val="00EE407F"/>
    <w:rsid w:val="00EE5185"/>
    <w:rsid w:val="00EE5C2F"/>
    <w:rsid w:val="00EF39E1"/>
    <w:rsid w:val="00EF4225"/>
    <w:rsid w:val="00F020F1"/>
    <w:rsid w:val="00F057C7"/>
    <w:rsid w:val="00F11448"/>
    <w:rsid w:val="00F512AE"/>
    <w:rsid w:val="00F60CE5"/>
    <w:rsid w:val="00F745CE"/>
    <w:rsid w:val="00F82E52"/>
    <w:rsid w:val="00F871EA"/>
    <w:rsid w:val="00F91366"/>
    <w:rsid w:val="00F92869"/>
    <w:rsid w:val="00F95245"/>
    <w:rsid w:val="00F975A2"/>
    <w:rsid w:val="00FB4B8E"/>
    <w:rsid w:val="00FD5DFC"/>
    <w:rsid w:val="00FE775C"/>
    <w:rsid w:val="00FF294B"/>
    <w:rsid w:val="02C07FD6"/>
    <w:rsid w:val="04407AAE"/>
    <w:rsid w:val="049625D7"/>
    <w:rsid w:val="054F7444"/>
    <w:rsid w:val="06396DFF"/>
    <w:rsid w:val="06706BA1"/>
    <w:rsid w:val="072C49AF"/>
    <w:rsid w:val="094270B0"/>
    <w:rsid w:val="09E84C52"/>
    <w:rsid w:val="0AF5768B"/>
    <w:rsid w:val="0B112B3E"/>
    <w:rsid w:val="0B56192C"/>
    <w:rsid w:val="0CE90EE9"/>
    <w:rsid w:val="0F1A33BC"/>
    <w:rsid w:val="10C204B7"/>
    <w:rsid w:val="12A30FC4"/>
    <w:rsid w:val="1387013B"/>
    <w:rsid w:val="13F84F40"/>
    <w:rsid w:val="15B9194C"/>
    <w:rsid w:val="16CF6623"/>
    <w:rsid w:val="185539D6"/>
    <w:rsid w:val="186841DD"/>
    <w:rsid w:val="1A557847"/>
    <w:rsid w:val="1ADB46F6"/>
    <w:rsid w:val="1CA0145A"/>
    <w:rsid w:val="1D400365"/>
    <w:rsid w:val="1D931B69"/>
    <w:rsid w:val="1DB47F60"/>
    <w:rsid w:val="1FEF2699"/>
    <w:rsid w:val="200969EE"/>
    <w:rsid w:val="209F0164"/>
    <w:rsid w:val="212F253F"/>
    <w:rsid w:val="22AD72FE"/>
    <w:rsid w:val="24A21615"/>
    <w:rsid w:val="25041B92"/>
    <w:rsid w:val="25D275D1"/>
    <w:rsid w:val="26805346"/>
    <w:rsid w:val="26B43B96"/>
    <w:rsid w:val="26FF7125"/>
    <w:rsid w:val="27224520"/>
    <w:rsid w:val="27384CD7"/>
    <w:rsid w:val="27832B97"/>
    <w:rsid w:val="28F14237"/>
    <w:rsid w:val="29F652A9"/>
    <w:rsid w:val="29F87B26"/>
    <w:rsid w:val="2B9046C9"/>
    <w:rsid w:val="2BAD4177"/>
    <w:rsid w:val="2C857238"/>
    <w:rsid w:val="2D01634F"/>
    <w:rsid w:val="2D3B395C"/>
    <w:rsid w:val="2DE409C2"/>
    <w:rsid w:val="2E98327B"/>
    <w:rsid w:val="2EA0006B"/>
    <w:rsid w:val="2F707D54"/>
    <w:rsid w:val="2FC958B6"/>
    <w:rsid w:val="318C096B"/>
    <w:rsid w:val="32091728"/>
    <w:rsid w:val="32BE4524"/>
    <w:rsid w:val="344C1000"/>
    <w:rsid w:val="34B44AF2"/>
    <w:rsid w:val="34D04DF2"/>
    <w:rsid w:val="357075E7"/>
    <w:rsid w:val="357704E8"/>
    <w:rsid w:val="35C3299D"/>
    <w:rsid w:val="36397DE2"/>
    <w:rsid w:val="363D0027"/>
    <w:rsid w:val="36423910"/>
    <w:rsid w:val="37A64DD2"/>
    <w:rsid w:val="37D31382"/>
    <w:rsid w:val="38607F37"/>
    <w:rsid w:val="38980BC5"/>
    <w:rsid w:val="38E1269E"/>
    <w:rsid w:val="39A17CAB"/>
    <w:rsid w:val="3B7847FC"/>
    <w:rsid w:val="3BC300E5"/>
    <w:rsid w:val="3C183261"/>
    <w:rsid w:val="3CDA1A46"/>
    <w:rsid w:val="3E1853D3"/>
    <w:rsid w:val="3F451795"/>
    <w:rsid w:val="3F6D6554"/>
    <w:rsid w:val="3F992F87"/>
    <w:rsid w:val="406067DC"/>
    <w:rsid w:val="409E67DA"/>
    <w:rsid w:val="414C4891"/>
    <w:rsid w:val="416E1F17"/>
    <w:rsid w:val="42516F5E"/>
    <w:rsid w:val="427B5D8A"/>
    <w:rsid w:val="42991D13"/>
    <w:rsid w:val="491F5333"/>
    <w:rsid w:val="4A9927DD"/>
    <w:rsid w:val="4B331377"/>
    <w:rsid w:val="4BF63E92"/>
    <w:rsid w:val="4D4630A8"/>
    <w:rsid w:val="4DAF2FCF"/>
    <w:rsid w:val="4E2E1A02"/>
    <w:rsid w:val="4E39388F"/>
    <w:rsid w:val="4E5C130A"/>
    <w:rsid w:val="53640E11"/>
    <w:rsid w:val="53921DFD"/>
    <w:rsid w:val="54172153"/>
    <w:rsid w:val="541B70EC"/>
    <w:rsid w:val="545F2253"/>
    <w:rsid w:val="549B2573"/>
    <w:rsid w:val="55EA2A37"/>
    <w:rsid w:val="5A6B0B50"/>
    <w:rsid w:val="5B6D0CF0"/>
    <w:rsid w:val="5B776EA4"/>
    <w:rsid w:val="5BCA6469"/>
    <w:rsid w:val="5C617BC6"/>
    <w:rsid w:val="5C7A2002"/>
    <w:rsid w:val="5D4A47B8"/>
    <w:rsid w:val="5E1F24D7"/>
    <w:rsid w:val="5FCF1065"/>
    <w:rsid w:val="601D5146"/>
    <w:rsid w:val="61085097"/>
    <w:rsid w:val="63181187"/>
    <w:rsid w:val="65410AAF"/>
    <w:rsid w:val="65E20240"/>
    <w:rsid w:val="664F1F40"/>
    <w:rsid w:val="669A7E11"/>
    <w:rsid w:val="66BD0757"/>
    <w:rsid w:val="6B4E0A87"/>
    <w:rsid w:val="6BA15295"/>
    <w:rsid w:val="6BC733C9"/>
    <w:rsid w:val="6C353F93"/>
    <w:rsid w:val="6C822E01"/>
    <w:rsid w:val="6E1A6E19"/>
    <w:rsid w:val="6EF12893"/>
    <w:rsid w:val="6F7A38EC"/>
    <w:rsid w:val="70390C43"/>
    <w:rsid w:val="70A7109A"/>
    <w:rsid w:val="71195A56"/>
    <w:rsid w:val="72BA3466"/>
    <w:rsid w:val="72FB1B70"/>
    <w:rsid w:val="759167D1"/>
    <w:rsid w:val="75E648FB"/>
    <w:rsid w:val="76DA0666"/>
    <w:rsid w:val="76E1146F"/>
    <w:rsid w:val="7B587EEB"/>
    <w:rsid w:val="7BEA28E6"/>
    <w:rsid w:val="7C0B1971"/>
    <w:rsid w:val="7CD979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Body Text Indent 2"/>
    <w:basedOn w:val="1"/>
    <w:qFormat/>
    <w:uiPriority w:val="0"/>
    <w:pPr>
      <w:spacing w:line="600" w:lineRule="exact"/>
      <w:ind w:firstLine="600" w:firstLineChars="200"/>
    </w:pPr>
    <w:rPr>
      <w:rFonts w:ascii="仿宋_GB2312" w:hAnsi="宋体" w:eastAsia="仿宋_GB2312"/>
      <w:sz w:val="30"/>
      <w:szCs w:val="30"/>
    </w:rPr>
  </w:style>
  <w:style w:type="paragraph" w:styleId="4">
    <w:name w:val="Balloon Text"/>
    <w:basedOn w:val="1"/>
    <w:link w:val="14"/>
    <w:qFormat/>
    <w:uiPriority w:val="0"/>
    <w:rPr>
      <w:sz w:val="18"/>
      <w:szCs w:val="18"/>
    </w:rPr>
  </w:style>
  <w:style w:type="paragraph" w:styleId="5">
    <w:name w:val="footer"/>
    <w:basedOn w:val="1"/>
    <w:link w:val="15"/>
    <w:uiPriority w:val="99"/>
    <w:pPr>
      <w:tabs>
        <w:tab w:val="center" w:pos="4153"/>
        <w:tab w:val="right" w:pos="8306"/>
      </w:tabs>
      <w:snapToGrid w:val="0"/>
      <w:jc w:val="left"/>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8">
    <w:name w:val="annotation subject"/>
    <w:basedOn w:val="2"/>
    <w:next w:val="2"/>
    <w:link w:val="17"/>
    <w:qFormat/>
    <w:uiPriority w:val="0"/>
    <w:rPr>
      <w:b/>
      <w:bCs/>
    </w:rPr>
  </w:style>
  <w:style w:type="character" w:styleId="11">
    <w:name w:val="page number"/>
    <w:qFormat/>
    <w:uiPriority w:val="0"/>
  </w:style>
  <w:style w:type="character" w:styleId="12">
    <w:name w:val="annotation reference"/>
    <w:qFormat/>
    <w:uiPriority w:val="0"/>
    <w:rPr>
      <w:sz w:val="21"/>
      <w:szCs w:val="21"/>
    </w:rPr>
  </w:style>
  <w:style w:type="character" w:customStyle="1" w:styleId="13">
    <w:name w:val="批注文字 字符"/>
    <w:link w:val="2"/>
    <w:qFormat/>
    <w:uiPriority w:val="0"/>
    <w:rPr>
      <w:kern w:val="2"/>
      <w:sz w:val="21"/>
      <w:szCs w:val="24"/>
    </w:rPr>
  </w:style>
  <w:style w:type="character" w:customStyle="1" w:styleId="14">
    <w:name w:val="批注框文本 字符"/>
    <w:link w:val="4"/>
    <w:qFormat/>
    <w:uiPriority w:val="0"/>
    <w:rPr>
      <w:kern w:val="2"/>
      <w:sz w:val="18"/>
      <w:szCs w:val="18"/>
    </w:rPr>
  </w:style>
  <w:style w:type="character" w:customStyle="1" w:styleId="15">
    <w:name w:val="页脚 字符"/>
    <w:link w:val="5"/>
    <w:qFormat/>
    <w:uiPriority w:val="0"/>
    <w:rPr>
      <w:kern w:val="2"/>
      <w:sz w:val="18"/>
      <w:szCs w:val="18"/>
    </w:rPr>
  </w:style>
  <w:style w:type="character" w:customStyle="1" w:styleId="16">
    <w:name w:val="页眉 字符"/>
    <w:link w:val="6"/>
    <w:qFormat/>
    <w:uiPriority w:val="0"/>
    <w:rPr>
      <w:kern w:val="2"/>
      <w:sz w:val="18"/>
      <w:szCs w:val="18"/>
    </w:rPr>
  </w:style>
  <w:style w:type="character" w:customStyle="1" w:styleId="17">
    <w:name w:val="批注主题 字符"/>
    <w:link w:val="8"/>
    <w:qFormat/>
    <w:uiPriority w:val="0"/>
    <w:rPr>
      <w:b/>
      <w:bCs/>
      <w:kern w:val="2"/>
      <w:sz w:val="21"/>
      <w:szCs w:val="24"/>
    </w:rPr>
  </w:style>
  <w:style w:type="paragraph" w:customStyle="1" w:styleId="18">
    <w:name w:val="附注二级正文"/>
    <w:basedOn w:val="1"/>
    <w:link w:val="19"/>
    <w:qFormat/>
    <w:uiPriority w:val="0"/>
    <w:pPr>
      <w:adjustRightInd w:val="0"/>
      <w:snapToGrid w:val="0"/>
      <w:spacing w:line="400" w:lineRule="atLeast"/>
      <w:ind w:left="718" w:leftChars="342"/>
    </w:pPr>
    <w:rPr>
      <w:rFonts w:ascii="宋体" w:hAnsi="宋体"/>
    </w:rPr>
  </w:style>
  <w:style w:type="character" w:customStyle="1" w:styleId="19">
    <w:name w:val="附注二级正文 Char"/>
    <w:link w:val="18"/>
    <w:qFormat/>
    <w:uiPriority w:val="0"/>
    <w:rPr>
      <w:rFonts w:ascii="宋体" w:hAnsi="宋体" w:eastAsia="宋体"/>
      <w:kern w:val="2"/>
      <w:sz w:val="21"/>
      <w:szCs w:val="24"/>
      <w:lang w:val="en-US" w:eastAsia="zh-CN" w:bidi="ar-SA"/>
    </w:rPr>
  </w:style>
  <w:style w:type="character" w:customStyle="1" w:styleId="20">
    <w:name w:val="附注二级 Char"/>
    <w:link w:val="21"/>
    <w:qFormat/>
    <w:locked/>
    <w:uiPriority w:val="0"/>
    <w:rPr>
      <w:rFonts w:ascii="宋体" w:hAnsi="宋体" w:eastAsia="宋体"/>
      <w:b/>
      <w:kern w:val="2"/>
      <w:sz w:val="21"/>
      <w:szCs w:val="24"/>
      <w:lang w:val="en-US" w:eastAsia="zh-CN" w:bidi="ar-SA"/>
    </w:rPr>
  </w:style>
  <w:style w:type="paragraph" w:customStyle="1" w:styleId="21">
    <w:name w:val="附注二级"/>
    <w:basedOn w:val="1"/>
    <w:link w:val="20"/>
    <w:qFormat/>
    <w:uiPriority w:val="0"/>
    <w:pPr>
      <w:tabs>
        <w:tab w:val="left" w:pos="714"/>
      </w:tabs>
      <w:adjustRightInd w:val="0"/>
      <w:snapToGrid w:val="0"/>
      <w:spacing w:line="400" w:lineRule="atLeast"/>
      <w:outlineLvl w:val="0"/>
    </w:pPr>
    <w:rPr>
      <w:rFonts w:ascii="宋体" w:hAnsi="宋体"/>
      <w:b/>
    </w:rPr>
  </w:style>
  <w:style w:type="paragraph" w:customStyle="1" w:styleId="22">
    <w:name w:val="附注一级"/>
    <w:basedOn w:val="1"/>
    <w:link w:val="23"/>
    <w:uiPriority w:val="0"/>
    <w:pPr>
      <w:tabs>
        <w:tab w:val="left" w:pos="714"/>
      </w:tabs>
      <w:adjustRightInd w:val="0"/>
      <w:snapToGrid w:val="0"/>
      <w:spacing w:line="400" w:lineRule="atLeast"/>
      <w:outlineLvl w:val="0"/>
    </w:pPr>
    <w:rPr>
      <w:rFonts w:ascii="宋体" w:hAnsi="宋体"/>
      <w:b/>
      <w:szCs w:val="21"/>
    </w:rPr>
  </w:style>
  <w:style w:type="character" w:customStyle="1" w:styleId="23">
    <w:name w:val="附注一级 Char"/>
    <w:link w:val="22"/>
    <w:qFormat/>
    <w:uiPriority w:val="0"/>
    <w:rPr>
      <w:rFonts w:ascii="宋体" w:hAnsi="宋体"/>
      <w:b/>
      <w:kern w:val="2"/>
      <w:sz w:val="21"/>
      <w:szCs w:val="21"/>
    </w:rPr>
  </w:style>
  <w:style w:type="paragraph" w:customStyle="1" w:styleId="24">
    <w:name w:val="附注三级"/>
    <w:basedOn w:val="1"/>
    <w:link w:val="25"/>
    <w:qFormat/>
    <w:uiPriority w:val="0"/>
    <w:pPr>
      <w:tabs>
        <w:tab w:val="left" w:pos="1273"/>
      </w:tabs>
      <w:adjustRightInd w:val="0"/>
      <w:snapToGrid w:val="0"/>
      <w:spacing w:line="400" w:lineRule="atLeast"/>
      <w:ind w:left="1256" w:leftChars="342" w:hanging="255" w:hangingChars="255"/>
    </w:pPr>
    <w:rPr>
      <w:rFonts w:ascii="宋体" w:hAnsi="宋体"/>
      <w:szCs w:val="21"/>
    </w:rPr>
  </w:style>
  <w:style w:type="character" w:customStyle="1" w:styleId="25">
    <w:name w:val="附注三级 Char"/>
    <w:link w:val="24"/>
    <w:qFormat/>
    <w:uiPriority w:val="0"/>
    <w:rPr>
      <w:rFonts w:ascii="宋体" w:hAnsi="宋体"/>
      <w:kern w:val="2"/>
      <w:sz w:val="21"/>
      <w:szCs w:val="21"/>
    </w:rPr>
  </w:style>
  <w:style w:type="paragraph" w:customStyle="1" w:styleId="26">
    <w:name w:val="附注三级正文"/>
    <w:basedOn w:val="1"/>
    <w:link w:val="27"/>
    <w:qFormat/>
    <w:uiPriority w:val="0"/>
    <w:pPr>
      <w:adjustRightInd w:val="0"/>
      <w:snapToGrid w:val="0"/>
      <w:spacing w:line="400" w:lineRule="atLeast"/>
      <w:ind w:left="1260" w:leftChars="600"/>
    </w:pPr>
    <w:rPr>
      <w:rFonts w:ascii="宋体" w:hAnsi="宋体"/>
      <w:szCs w:val="21"/>
      <w:shd w:val="pct10" w:color="auto" w:fill="FFFFFF"/>
    </w:rPr>
  </w:style>
  <w:style w:type="character" w:customStyle="1" w:styleId="27">
    <w:name w:val="附注三级正文 Char"/>
    <w:link w:val="26"/>
    <w:qFormat/>
    <w:uiPriority w:val="0"/>
    <w:rPr>
      <w:rFonts w:ascii="宋体" w:hAnsi="宋体"/>
      <w:kern w:val="2"/>
      <w:sz w:val="21"/>
      <w:szCs w:val="21"/>
    </w:rPr>
  </w:style>
  <w:style w:type="paragraph" w:customStyle="1" w:styleId="28">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29">
    <w:name w:val="List Paragraph"/>
    <w:basedOn w:val="1"/>
    <w:qFormat/>
    <w:uiPriority w:val="34"/>
    <w:pPr>
      <w:ind w:firstLine="420" w:firstLineChars="200"/>
    </w:pPr>
    <w:rPr>
      <w:szCs w:val="20"/>
    </w:rPr>
  </w:style>
  <w:style w:type="character" w:customStyle="1" w:styleId="30">
    <w:name w:val="页脚 Char"/>
    <w:qFormat/>
    <w:uiPriority w:val="99"/>
    <w:rPr>
      <w:rFonts w:eastAsia="Calibri"/>
      <w:sz w:val="21"/>
    </w:rPr>
  </w:style>
  <w:style w:type="character" w:customStyle="1" w:styleId="31">
    <w:name w:val="font21"/>
    <w:qFormat/>
    <w:uiPriority w:val="0"/>
    <w:rPr>
      <w:rFonts w:hint="default" w:ascii="Times New Roman" w:hAnsi="Times New Roman" w:cs="Times New Roman"/>
      <w:b/>
      <w:bCs/>
      <w:color w:val="000000"/>
      <w:sz w:val="18"/>
      <w:szCs w:val="18"/>
      <w:u w:val="none"/>
    </w:rPr>
  </w:style>
  <w:style w:type="character" w:customStyle="1" w:styleId="32">
    <w:name w:val="font41"/>
    <w:qFormat/>
    <w:uiPriority w:val="0"/>
    <w:rPr>
      <w:rFonts w:hint="eastAsia" w:ascii="宋体" w:hAnsi="宋体" w:eastAsia="宋体" w:cs="宋体"/>
      <w:b/>
      <w:bCs/>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1775</Words>
  <Characters>10121</Characters>
  <Lines>84</Lines>
  <Paragraphs>23</Paragraphs>
  <TotalTime>0</TotalTime>
  <ScaleCrop>false</ScaleCrop>
  <LinksUpToDate>false</LinksUpToDate>
  <CharactersWithSpaces>11873</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2023-08-11T06:34:00Z</dcterms:created>
  <dc:creator>微软用户</dc:creator>
  <cp:lastModifiedBy>牟海涛</cp:lastModifiedBy>
  <cp:lastPrinted>2021-04-27T12:59:00Z</cp:lastPrinted>
  <dcterms:modified xsi:type="dcterms:W3CDTF">2023-08-23T08:01:26Z</dcterms:modified>
  <dc:title>《公司募集资金存放与实际使用情况的专项报告（格式指引）》</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06FC6969EDA0484282CD63C6B2366E14</vt:lpwstr>
  </property>
</Properties>
</file>